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360A" w:rsidRDefault="006711F2">
      <w:pPr>
        <w:pStyle w:val="normal0"/>
        <w:jc w:val="center"/>
      </w:pPr>
      <w:r>
        <w:rPr>
          <w:b/>
          <w:sz w:val="40"/>
        </w:rPr>
        <w:t>Dictionary – Section 3</w:t>
      </w:r>
    </w:p>
    <w:tbl>
      <w:tblPr>
        <w:tblStyle w:val="a"/>
        <w:tblW w:w="10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1755"/>
        <w:gridCol w:w="2395"/>
        <w:gridCol w:w="4988"/>
      </w:tblGrid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Item Number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Term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Explanation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Diagram/Example</w:t>
            </w: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Specialization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A method of production where </w:t>
            </w:r>
            <w:r>
              <w:rPr>
                <w:highlight w:val="yellow"/>
              </w:rPr>
              <w:t>a business or area focuses on the production of a limited scope of products or services in order to gain greater degrees of productive efficiency</w:t>
            </w:r>
            <w:r>
              <w:t xml:space="preserve"> within the entire system of businesses or areas. Countries specialize in certain areas. 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Germany specializes i</w:t>
            </w:r>
            <w:r>
              <w:t>n machine building, especially in the automotive industry</w:t>
            </w: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 xml:space="preserve">Division of </w:t>
            </w:r>
            <w:proofErr w:type="spellStart"/>
            <w:r>
              <w:rPr>
                <w:b/>
              </w:rPr>
              <w:t>Labour</w:t>
            </w:r>
            <w:proofErr w:type="spellEnd"/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The division of </w:t>
            </w:r>
            <w:proofErr w:type="spellStart"/>
            <w:r>
              <w:t>labour</w:t>
            </w:r>
            <w:proofErr w:type="spellEnd"/>
            <w:r>
              <w:t xml:space="preserve"> is a system whereby </w:t>
            </w:r>
            <w:r>
              <w:rPr>
                <w:highlight w:val="yellow"/>
              </w:rPr>
              <w:t>workers concentrate on performing a few tasks and then exchange their production for other goods and services.</w:t>
            </w:r>
            <w:r>
              <w:t> 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Free Trade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International trade taking place under market conditions without government intervention (with methods like Quotas or Tariffs)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Embargo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This is a </w:t>
            </w:r>
            <w:r>
              <w:rPr>
                <w:highlight w:val="yellow"/>
              </w:rPr>
              <w:t>partial or complete ban on</w:t>
            </w:r>
            <w:r>
              <w:t xml:space="preserve"> </w:t>
            </w:r>
            <w:r>
              <w:rPr>
                <w:highlight w:val="yellow"/>
              </w:rPr>
              <w:t>certain imports from a country</w:t>
            </w:r>
            <w:r>
              <w:t>. This is done usually in the form of political pu</w:t>
            </w:r>
            <w:r>
              <w:t>nishment.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- America has an Embargo on all Cuban goods</w:t>
            </w:r>
          </w:p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- Gaza by Israel and Egypt since 2001</w:t>
            </w:r>
          </w:p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-Georgia by Russia </w:t>
            </w:r>
            <w:proofErr w:type="spellStart"/>
            <w:r>
              <w:t>Commodites</w:t>
            </w:r>
            <w:proofErr w:type="spellEnd"/>
            <w:r>
              <w:t xml:space="preserve"> </w:t>
            </w:r>
          </w:p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- European Union Arms </w:t>
            </w:r>
            <w:proofErr w:type="spellStart"/>
            <w:r>
              <w:t>Embargoe</w:t>
            </w:r>
            <w:proofErr w:type="spellEnd"/>
            <w:r>
              <w:t xml:space="preserve"> on the People’s Republic of China</w:t>
            </w:r>
          </w:p>
        </w:tc>
      </w:tr>
      <w:tr w:rsidR="004D360A" w:rsidTr="004D360A">
        <w:trPr>
          <w:trHeight w:val="540"/>
        </w:trPr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bookmarkStart w:id="0" w:name="_GoBack" w:colFirst="3" w:colLast="3"/>
            <w:r>
              <w:rPr>
                <w:b/>
              </w:rPr>
              <w:t>5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Tariff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highlight w:val="yellow"/>
              </w:rPr>
              <w:t>A tariff is a tax charged on imported goods</w:t>
            </w:r>
            <w:r>
              <w:rPr>
                <w:highlight w:val="white"/>
              </w:rPr>
              <w:t>. In this case,</w:t>
            </w:r>
            <w:r>
              <w:rPr>
                <w:highlight w:val="white"/>
              </w:rPr>
              <w:t xml:space="preserve"> a higher price is paid by the importer to import these goods into the country. This is usually done in order to help the domestic industries boost their economic activity. 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Implementing a tariff is basically implementing a tax on the world price. The worl</w:t>
            </w:r>
            <w:r>
              <w:t xml:space="preserve">d price goes up, and accordingly, Quantity demanded falls, and quantity supplied by domestic firms increases. Imported amount also decreases. </w:t>
            </w:r>
          </w:p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84988" cy="2222628"/>
                  <wp:effectExtent l="0" t="0" r="0" b="0"/>
                  <wp:docPr id="1" name="image03.png" descr="http://kimsstudyblog.files.wordpress.com/2012/09/screen-shot-2012-09-24-at-9-28-17-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 descr="http://kimsstudyblog.files.wordpress.com/2012/09/screen-shot-2012-09-24-at-9-28-17-pm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988" cy="22226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Quota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highlight w:val="white"/>
              </w:rPr>
              <w:t xml:space="preserve">A </w:t>
            </w:r>
            <w:r>
              <w:rPr>
                <w:highlight w:val="yellow"/>
              </w:rPr>
              <w:t>physical limit on the numbers or value of goods that can be imported</w:t>
            </w:r>
            <w:r>
              <w:rPr>
                <w:highlight w:val="white"/>
              </w:rPr>
              <w:t xml:space="preserve"> into the country. 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Without a quota, </w:t>
            </w:r>
            <w:proofErr w:type="gramStart"/>
            <w:r>
              <w:t>Q1 is being produced by domestic firms</w:t>
            </w:r>
            <w:proofErr w:type="gramEnd"/>
            <w:r>
              <w:t>, and Q1-Q4 is being imported. When a quota is introduced, the quantity imported falls to a quota Q1-Q2. Now there is a shortage in the market because of excess demand. The price from then on keeps ris</w:t>
            </w:r>
            <w:r>
              <w:t>ing until a price is found, where everything in the market is stable again. At the new price P3, a quantity of Q2-Q3 is being imported (Quota) [this value of Q2-Q3 = Q1-Q2]. Now with a higher price, domestic producers come into the market, and hence the do</w:t>
            </w:r>
            <w:r>
              <w:t>mestic supply shifts to the right to find a new equilibrium of demand and supply. (</w:t>
            </w:r>
            <w:proofErr w:type="gramStart"/>
            <w:r>
              <w:t>moves</w:t>
            </w:r>
            <w:proofErr w:type="gramEnd"/>
            <w:r>
              <w:t xml:space="preserve"> by value of quota). </w:t>
            </w:r>
          </w:p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88758" cy="2500889"/>
                  <wp:effectExtent l="0" t="0" r="0" b="0"/>
                  <wp:docPr id="2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758" cy="25008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Voluntary export restraint (VER)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A </w:t>
            </w:r>
            <w:r>
              <w:rPr>
                <w:highlight w:val="yellow"/>
              </w:rPr>
              <w:t>trade restriction on the quantity of a good that an exporting country is allowed to export to another coun</w:t>
            </w:r>
            <w:r>
              <w:rPr>
                <w:highlight w:val="yellow"/>
              </w:rPr>
              <w:t>try</w:t>
            </w:r>
            <w:r>
              <w:t xml:space="preserve">. This limit is self-imposed by the exporting country. Typically, VERs </w:t>
            </w:r>
            <w:proofErr w:type="gramStart"/>
            <w:r>
              <w:t>are</w:t>
            </w:r>
            <w:proofErr w:type="gramEnd"/>
            <w:r>
              <w:t xml:space="preserve"> a result of requests made by the importing </w:t>
            </w:r>
            <w:r>
              <w:lastRenderedPageBreak/>
              <w:t>country to provide a measure of protection for its domestic businesses that produce substitute goods.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lastRenderedPageBreak/>
              <w:t xml:space="preserve">When the automobile industry in the United States was threatened by the popularity of cheaper more fuel efficient Japanese cars, a 1981 voluntary restraint agreement limited the Japanese to exporting 1.68 million cars to the U.S. annually as stipulated by </w:t>
            </w:r>
            <w:r>
              <w:t>U.S Government</w:t>
            </w: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Exchange controls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Types of controls that governments put in place to </w:t>
            </w:r>
            <w:r>
              <w:rPr>
                <w:highlight w:val="yellow"/>
              </w:rPr>
              <w:t xml:space="preserve">ban or restrict the amount of foreign currency or local currency that </w:t>
            </w:r>
            <w:proofErr w:type="gramStart"/>
            <w:r>
              <w:rPr>
                <w:highlight w:val="yellow"/>
              </w:rPr>
              <w:t>is allowed to be traded</w:t>
            </w:r>
            <w:r>
              <w:t xml:space="preserve"> or</w:t>
            </w:r>
            <w:proofErr w:type="gramEnd"/>
            <w:r>
              <w:t xml:space="preserve"> purchased.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Zambia just recently dropped exchange regulations so that their currency was prevented from a decline. They have moved back to a free market form. </w:t>
            </w: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Import licensing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highlight w:val="yellow"/>
              </w:rPr>
              <w:t xml:space="preserve">Permit that allows an importer to bring in a specified quantity of certain goods during </w:t>
            </w:r>
            <w:r>
              <w:rPr>
                <w:highlight w:val="yellow"/>
              </w:rPr>
              <w:t>a specified period</w:t>
            </w:r>
            <w:r>
              <w:t xml:space="preserve">. </w:t>
            </w:r>
          </w:p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Import licenses are employed </w:t>
            </w:r>
          </w:p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(1) </w:t>
            </w:r>
            <w:proofErr w:type="gramStart"/>
            <w:r>
              <w:t>as</w:t>
            </w:r>
            <w:proofErr w:type="gramEnd"/>
            <w:r>
              <w:t xml:space="preserve"> means of </w:t>
            </w:r>
            <w:r>
              <w:rPr>
                <w:highlight w:val="yellow"/>
              </w:rPr>
              <w:t>restricting outflow of foreign currency</w:t>
            </w:r>
            <w:r>
              <w:t xml:space="preserve"> to improve a country's balance of payments position </w:t>
            </w:r>
          </w:p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(2) </w:t>
            </w:r>
            <w:proofErr w:type="gramStart"/>
            <w:r>
              <w:t>to</w:t>
            </w:r>
            <w:proofErr w:type="gramEnd"/>
            <w:r>
              <w:t xml:space="preserve"> </w:t>
            </w:r>
            <w:r>
              <w:rPr>
                <w:highlight w:val="yellow"/>
              </w:rPr>
              <w:t>control entry of dangerous items</w:t>
            </w:r>
            <w:r>
              <w:t xml:space="preserve"> such as explosives, firearms, and certain substances</w:t>
            </w:r>
          </w:p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 (3</w:t>
            </w:r>
            <w:r>
              <w:t xml:space="preserve">) </w:t>
            </w:r>
            <w:proofErr w:type="gramStart"/>
            <w:r>
              <w:t>to</w:t>
            </w:r>
            <w:proofErr w:type="gramEnd"/>
            <w:r>
              <w:t xml:space="preserve"> </w:t>
            </w:r>
            <w:r>
              <w:rPr>
                <w:highlight w:val="yellow"/>
              </w:rPr>
              <w:t>protect the domestic industry from foreign competition</w:t>
            </w:r>
            <w:r>
              <w:t xml:space="preserve">. 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Administrative barriers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Countries are sometimes accused of using their various administrative rules (e.g. regarding food safety, environmental standards, electrical safety, etc.) as a way t</w:t>
            </w:r>
            <w:r>
              <w:t>o introduce barriers to imports.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</w:pPr>
            <w:r>
              <w:t xml:space="preserve">Example - Japanese video imports were to be inspected and pass customs in Poitiers in France (1981).  </w:t>
            </w:r>
            <w:proofErr w:type="spellStart"/>
            <w:r>
              <w:t>Poiters</w:t>
            </w:r>
            <w:proofErr w:type="spellEnd"/>
            <w:r>
              <w:t xml:space="preserve"> is located inland, far away from ports with only a few officers.  Delays led to the reduced imports of Japanese videos.</w:t>
            </w: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Health and Safety stan</w:t>
            </w:r>
            <w:r>
              <w:rPr>
                <w:b/>
              </w:rPr>
              <w:t>dards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</w:pPr>
            <w:r>
              <w:t xml:space="preserve">Restrictions may be in place based on the types of goods that enter the country or the methods of manufacturing involved. </w:t>
            </w:r>
            <w:r>
              <w:rPr>
                <w:highlight w:val="yellow"/>
              </w:rPr>
              <w:t xml:space="preserve">It is usually for the safety of the health of </w:t>
            </w:r>
            <w:r>
              <w:rPr>
                <w:highlight w:val="yellow"/>
              </w:rPr>
              <w:lastRenderedPageBreak/>
              <w:t>the population</w:t>
            </w:r>
            <w:r>
              <w:t xml:space="preserve"> but some countries use it as an excuse to protect jobs</w:t>
            </w:r>
          </w:p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lastRenderedPageBreak/>
              <w:t xml:space="preserve">Gas Leak - </w:t>
            </w:r>
            <w:r>
              <w:t>Bhopal disaster in India, considered worlds worst industrial Disaster. 1984</w:t>
            </w: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Environmental standards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Reason for ban on imports where the good is doing harm to the environment in the importing country or doesn’t meet its environmental standards.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Chinese </w:t>
            </w:r>
            <w:r>
              <w:t xml:space="preserve">Leather producing Chrome 6, which raises </w:t>
            </w:r>
            <w:proofErr w:type="spellStart"/>
            <w:r>
              <w:t>enviornmental</w:t>
            </w:r>
            <w:proofErr w:type="spellEnd"/>
            <w:r>
              <w:t xml:space="preserve"> issues in China and harms consumers with skin irritations in European countries</w:t>
            </w: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Dumping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Dumping – Selling of large quantities of a commodity at a price lower than its production cost, in another co</w:t>
            </w:r>
            <w:r>
              <w:t xml:space="preserve">untry. </w:t>
            </w:r>
          </w:p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China was “caught” dumping solar panels in the EU in 2012. An agreement was reached between China and the EU on a quota of imports of solar panels. </w:t>
            </w: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Infant Industry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An infant industry is </w:t>
            </w:r>
            <w:r>
              <w:rPr>
                <w:highlight w:val="yellow"/>
              </w:rPr>
              <w:t>a new industry, which in its early stages experiences relative difficulty or is absolutely incapable in competing with established competitors abroad.</w:t>
            </w:r>
            <w:r>
              <w:t xml:space="preserve"> It has not yet achieved </w:t>
            </w:r>
            <w:r>
              <w:rPr>
                <w:highlight w:val="yellow"/>
              </w:rPr>
              <w:t>economies of scale</w:t>
            </w:r>
            <w:r>
              <w:t xml:space="preserve"> and needs government support usually to achieve it. A lot of t</w:t>
            </w:r>
            <w:r>
              <w:t xml:space="preserve">rade barriers are used to support these industries from external competition. 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Balance of Payments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Balance of payments account is a </w:t>
            </w:r>
            <w:r>
              <w:rPr>
                <w:highlight w:val="yellow"/>
              </w:rPr>
              <w:t>record</w:t>
            </w:r>
            <w:r>
              <w:t xml:space="preserve"> of the </w:t>
            </w:r>
            <w:r>
              <w:rPr>
                <w:highlight w:val="yellow"/>
              </w:rPr>
              <w:t>value of all the transactions</w:t>
            </w:r>
            <w:r>
              <w:t xml:space="preserve"> between the </w:t>
            </w:r>
            <w:r>
              <w:rPr>
                <w:highlight w:val="yellow"/>
              </w:rPr>
              <w:t>residents of one country</w:t>
            </w:r>
            <w:r>
              <w:t xml:space="preserve"> and the </w:t>
            </w:r>
            <w:r>
              <w:rPr>
                <w:highlight w:val="yellow"/>
              </w:rPr>
              <w:t>residents of all other countri</w:t>
            </w:r>
            <w:r>
              <w:rPr>
                <w:highlight w:val="yellow"/>
              </w:rPr>
              <w:t>es</w:t>
            </w:r>
            <w:r>
              <w:t xml:space="preserve"> in the world over a given period of time.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Exchange Rate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The </w:t>
            </w:r>
            <w:r>
              <w:rPr>
                <w:highlight w:val="yellow"/>
              </w:rPr>
              <w:t>price of a nation’s currency in terms of another currency</w:t>
            </w:r>
            <w:r>
              <w:t xml:space="preserve">. An exchange rate thus has </w:t>
            </w:r>
            <w:r>
              <w:lastRenderedPageBreak/>
              <w:t>two components, the domestic currency and a foreign currency, and can be quoted either directly or indirectly.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0" hidden="0" allowOverlap="0">
                  <wp:simplePos x="0" y="0"/>
                  <wp:positionH relativeFrom="margin">
                    <wp:posOffset>-3650613</wp:posOffset>
                  </wp:positionH>
                  <wp:positionV relativeFrom="paragraph">
                    <wp:posOffset>-1855468</wp:posOffset>
                  </wp:positionV>
                  <wp:extent cx="2886075" cy="2036445"/>
                  <wp:effectExtent l="0" t="0" r="0" b="0"/>
                  <wp:wrapSquare wrapText="bothSides" distT="0" distB="0" distL="114300" distR="114300"/>
                  <wp:docPr id="3" name="image00.gif" descr="http://www.hsc.csu.edu.au/economics/place/exchange_rates/figur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gif" descr="http://www.hsc.csu.edu.au/economics/place/exchange_rates/figure1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036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Floating Exchange rate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Exchange rate regime where the </w:t>
            </w:r>
            <w:r>
              <w:rPr>
                <w:highlight w:val="yellow"/>
              </w:rPr>
              <w:t>value of a currency is to be determined solely by the demand and supply for the currency</w:t>
            </w:r>
            <w:r>
              <w:t xml:space="preserve"> in a foreign exchange market.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Diagram above</w:t>
            </w: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Fixed Exchange Rate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An exchange rate regime where the </w:t>
            </w:r>
            <w:r>
              <w:rPr>
                <w:highlight w:val="yellow"/>
              </w:rPr>
              <w:t xml:space="preserve">value of a currency is fixed to the value of another currency to </w:t>
            </w:r>
            <w:r>
              <w:rPr>
                <w:highlight w:val="yellow"/>
              </w:rPr>
              <w:t>the average value of a selection of currencies</w:t>
            </w:r>
            <w:r>
              <w:t xml:space="preserve"> or to the </w:t>
            </w:r>
            <w:r>
              <w:rPr>
                <w:highlight w:val="yellow"/>
              </w:rPr>
              <w:t>value of a commodity</w:t>
            </w:r>
            <w:r>
              <w:t xml:space="preserve"> (</w:t>
            </w:r>
            <w:proofErr w:type="spellStart"/>
            <w:r>
              <w:t>eg</w:t>
            </w:r>
            <w:proofErr w:type="spellEnd"/>
            <w:r>
              <w:t>: gold)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30220" cy="2011680"/>
                  <wp:effectExtent l="0" t="0" r="0" b="0"/>
                  <wp:docPr id="4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220" cy="2011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The value is pegged at BB. If supply of a currency increases, so will demand, and if the supply of a currency decreases, so will demand. The same is true for if dema</w:t>
            </w:r>
            <w:r>
              <w:t xml:space="preserve">nd of a currency increases/decreases. </w:t>
            </w: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Managed Exchange Rate</w:t>
            </w:r>
          </w:p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Exchange rate is </w:t>
            </w:r>
            <w:r>
              <w:rPr>
                <w:highlight w:val="yellow"/>
              </w:rPr>
              <w:t>determined by the supply and demand of a currency with government intervention</w:t>
            </w:r>
            <w:r>
              <w:t>. No exchange rate regime is free floating and government intervention is often required to red</w:t>
            </w:r>
            <w:r>
              <w:t xml:space="preserve">uce uncertainty for businesses and for stability in the exchange rate. ERs fluctuate from day to day, but the </w:t>
            </w:r>
            <w:r>
              <w:lastRenderedPageBreak/>
              <w:t xml:space="preserve">central banks attempt to influence the ER so that it is stable. 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Dirty Float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Another word for Managed exchange rates. 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Trade Flow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 Trade also called goods exchange economy is the transfer the ownership of goods from one person or entity to another by getting something in exchange from the buyer.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Capital inflow + Interest rates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Capital inflow is a term for foreign money, which fl</w:t>
            </w:r>
            <w:r>
              <w:t xml:space="preserve">ows in more to earn more interest and take benefit of exchange rate variation. When </w:t>
            </w:r>
            <w:r>
              <w:rPr>
                <w:highlight w:val="yellow"/>
              </w:rPr>
              <w:t>interest rates in a country are high</w:t>
            </w:r>
            <w:r>
              <w:t xml:space="preserve">, then </w:t>
            </w:r>
            <w:r>
              <w:rPr>
                <w:highlight w:val="yellow"/>
              </w:rPr>
              <w:t>money will flow into the economy</w:t>
            </w:r>
            <w:r>
              <w:t xml:space="preserve"> because </w:t>
            </w:r>
            <w:r>
              <w:rPr>
                <w:highlight w:val="yellow"/>
              </w:rPr>
              <w:t>foreigners will demand more of that currency</w:t>
            </w:r>
            <w:r>
              <w:t xml:space="preserve"> and save it in the banks (with high interes</w:t>
            </w:r>
            <w:r>
              <w:t xml:space="preserve">t rates). </w:t>
            </w:r>
            <w:r>
              <w:rPr>
                <w:highlight w:val="yellow"/>
              </w:rPr>
              <w:t>Currency will appreciate if there is a capital inflow.</w:t>
            </w:r>
            <w:r>
              <w:t xml:space="preserve"> 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Exchange rates + Inflation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highlight w:val="yellow"/>
              </w:rPr>
              <w:t>A country with a consistently lower inflation rate exhibits a rising currency value</w:t>
            </w:r>
            <w:r>
              <w:t>, as its purchasing power increases relative to other currencies.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Currency speculation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The act of trading in an asset, or conducting a financial transaction, that has a significant risk of losing most or all of the initial outlay, in expectation of a substantial gain. With speculation, the risk of loss is more than offse</w:t>
            </w:r>
            <w:r>
              <w:t xml:space="preserve">t by the possibility of a huge gain; otherwise, </w:t>
            </w:r>
            <w:r>
              <w:lastRenderedPageBreak/>
              <w:t xml:space="preserve">there would be very little motivation to speculate. This is dependent on a calculated risk. 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Foreign currency reserves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A foreign currency is held by central banks and other major financial institutions a</w:t>
            </w:r>
            <w:r>
              <w:t>s a means to pay off international debt obligations, or to influence their domestic exchange rate.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External Balance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A situation in which the money a country brings in from exports is roughly equal to the money it spends on imports.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 xml:space="preserve">Currency Appreciation 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An increase in the value of one currency in terms of another. Currencies appreciate against each other for various reasons, including capital inflows and the state of a country's current account.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</w:pPr>
            <w:r>
              <w:rPr>
                <w:noProof/>
              </w:rPr>
              <w:drawing>
                <wp:inline distT="0" distB="0" distL="0" distR="0">
                  <wp:extent cx="2528115" cy="4258270"/>
                  <wp:effectExtent l="0" t="0" r="0" b="0"/>
                  <wp:docPr id="5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115" cy="4258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D360A" w:rsidRDefault="004D360A">
            <w:pPr>
              <w:pStyle w:val="normal0"/>
              <w:spacing w:after="0" w:line="240" w:lineRule="auto"/>
              <w:contextualSpacing w:val="0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 xml:space="preserve">Currency depreciation 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proofErr w:type="gramStart"/>
            <w:r>
              <w:t>A decrease in the level of a currency in a floating exchange</w:t>
            </w:r>
            <w:proofErr w:type="gramEnd"/>
            <w:r>
              <w:t xml:space="preserve"> rate system due to market forces. Currency depreciation can occur due to any number of reasons – economic fundamentals, interest rate differentials, political instability, risk aversion among inv</w:t>
            </w:r>
            <w:r>
              <w:t>estors and so on.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77626" cy="4497618"/>
                  <wp:effectExtent l="0" t="0" r="0" b="0"/>
                  <wp:docPr id="6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626" cy="44976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Currency revaluation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Occurs in a fixed exchange rate regime. Here if the </w:t>
            </w:r>
            <w:r>
              <w:rPr>
                <w:highlight w:val="yellow"/>
              </w:rPr>
              <w:t>value of the currency is raised by the government/central</w:t>
            </w:r>
            <w:r>
              <w:t xml:space="preserve"> </w:t>
            </w:r>
            <w:r>
              <w:rPr>
                <w:highlight w:val="yellow"/>
              </w:rPr>
              <w:t>bank</w:t>
            </w:r>
            <w:r>
              <w:t>, then it is called currency revaluation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Currency devaluation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Occurs in a fixed exchange rat</w:t>
            </w:r>
            <w:r>
              <w:t xml:space="preserve">e regime. Here if the </w:t>
            </w:r>
            <w:proofErr w:type="gramStart"/>
            <w:r>
              <w:rPr>
                <w:highlight w:val="yellow"/>
              </w:rPr>
              <w:t>value of the currency is decreased by the government</w:t>
            </w:r>
            <w:proofErr w:type="gramEnd"/>
            <w:r>
              <w:t xml:space="preserve">, then it is called currency devaluation. 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31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Adjustable peg exchange rate system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An exchange rate policy adopted by some countries wherein the </w:t>
            </w:r>
            <w:r>
              <w:rPr>
                <w:highlight w:val="yellow"/>
              </w:rPr>
              <w:t>national currency is largely pegged or fixed to a major currency such as the U.S. dollar or euro</w:t>
            </w:r>
            <w:r>
              <w:t xml:space="preserve">, but can be readjusted from time to time within a narrow interval. 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The Chinese </w:t>
            </w:r>
            <w:proofErr w:type="spellStart"/>
            <w:r>
              <w:t>renminbi</w:t>
            </w:r>
            <w:proofErr w:type="spellEnd"/>
            <w:r>
              <w:t xml:space="preserve"> or </w:t>
            </w:r>
            <w:proofErr w:type="spellStart"/>
            <w:r>
              <w:t>yuan</w:t>
            </w:r>
            <w:proofErr w:type="spellEnd"/>
            <w:r>
              <w:t xml:space="preserve"> was informally pegged to the US dollar in the mid-1990s until </w:t>
            </w:r>
            <w:r>
              <w:t xml:space="preserve">2005 at a rate of approximately 8.28 per dollar. The peg was adjusted to about 6.83 </w:t>
            </w:r>
            <w:proofErr w:type="spellStart"/>
            <w:r>
              <w:t>yuan</w:t>
            </w:r>
            <w:proofErr w:type="spellEnd"/>
            <w:r>
              <w:t xml:space="preserve"> per U.S. dollar from July 2008, after three years of appreciation.</w:t>
            </w: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Intervention buying/selling of a currency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highlight w:val="yellow"/>
              </w:rPr>
              <w:t xml:space="preserve">Government intervenes in a foreign exchange market to </w:t>
            </w:r>
            <w:r>
              <w:rPr>
                <w:highlight w:val="yellow"/>
              </w:rPr>
              <w:t>influence the value of their currency</w:t>
            </w:r>
            <w:r>
              <w:t>. They may:</w:t>
            </w:r>
          </w:p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Lower ER to increase employment</w:t>
            </w:r>
          </w:p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Raise ER to fight inflation</w:t>
            </w:r>
          </w:p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Avoid large fluctuations in floating ER</w:t>
            </w:r>
          </w:p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Improve current account deficit</w:t>
            </w:r>
          </w:p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They do this by:</w:t>
            </w:r>
          </w:p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Buying or selling their own currency</w:t>
            </w:r>
          </w:p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Changing Interest rat</w:t>
            </w:r>
            <w:r>
              <w:t>es</w:t>
            </w:r>
          </w:p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33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Current Account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</w:pPr>
            <w:r>
              <w:t xml:space="preserve">A measure of the flow of funds from trade in goods and services + other income flows. </w:t>
            </w:r>
          </w:p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Balance of trade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This occurs when the revenue from exports = expenditure on imports.</w:t>
            </w:r>
          </w:p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Trade </w:t>
            </w:r>
            <w:proofErr w:type="gramStart"/>
            <w:r>
              <w:t>balance(</w:t>
            </w:r>
            <w:proofErr w:type="gramEnd"/>
            <w:r>
              <w:t xml:space="preserve">goods) = Measure of the </w:t>
            </w:r>
            <w:r>
              <w:rPr>
                <w:b/>
              </w:rPr>
              <w:t xml:space="preserve">Revenue received from exports of tangible goods minus expenditure on imports of tangible goods </w:t>
            </w:r>
            <w:r>
              <w:t>over a period of time</w:t>
            </w:r>
          </w:p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Invisible balance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highlight w:val="yellow"/>
              </w:rPr>
              <w:t>Balance of trade in services</w:t>
            </w:r>
            <w:r>
              <w:t xml:space="preserve"> is known as invisible balance.  Trade balance (services) = measure of </w:t>
            </w:r>
            <w:r>
              <w:rPr>
                <w:b/>
              </w:rPr>
              <w:t>revenue receive</w:t>
            </w:r>
            <w:r>
              <w:rPr>
                <w:b/>
              </w:rPr>
              <w:t xml:space="preserve">d from exports of services – expenditure on the import of services. </w:t>
            </w:r>
          </w:p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proofErr w:type="spellStart"/>
            <w:r>
              <w:t>Eg</w:t>
            </w:r>
            <w:proofErr w:type="spellEnd"/>
            <w:r>
              <w:t xml:space="preserve">: Money coming in when a tourist travels in a country. </w:t>
            </w: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Capital Account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Net change in ownership of national assets. </w:t>
            </w:r>
          </w:p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Capital account = FDI + Portfolio investment + Other investment + </w:t>
            </w:r>
            <w:r>
              <w:lastRenderedPageBreak/>
              <w:t xml:space="preserve">Reserve account. </w:t>
            </w:r>
          </w:p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Basically</w:t>
            </w:r>
          </w:p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Capital account = Change in foreign ownership of domestic assets minus change in domestic ownership of foreign assets. 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Import Substitution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This is the act o</w:t>
            </w:r>
            <w:r>
              <w:t xml:space="preserve">f </w:t>
            </w:r>
            <w:r>
              <w:rPr>
                <w:highlight w:val="yellow"/>
              </w:rPr>
              <w:t>replacing foreign imports with domestic production of a certain good/service</w:t>
            </w:r>
            <w:r>
              <w:t xml:space="preserve">. This is done in order to boost the domestic industries. 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38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Economic Integration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Economic integration is the </w:t>
            </w:r>
            <w:r>
              <w:rPr>
                <w:highlight w:val="yellow"/>
              </w:rPr>
              <w:t>unification of economic policies between different states through</w:t>
            </w:r>
            <w:r>
              <w:rPr>
                <w:highlight w:val="yellow"/>
              </w:rPr>
              <w:t xml:space="preserve"> the partial or full abolition of tariff and non-tariff restrictions</w:t>
            </w:r>
            <w:r>
              <w:t xml:space="preserve"> on trade taking place among them prior to their integration. 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39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Current Account deficit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A measurement of a country’s trade in which the </w:t>
            </w:r>
            <w:r>
              <w:rPr>
                <w:highlight w:val="yellow"/>
              </w:rPr>
              <w:t>value of goods and services it imports exceeds the value of goods and services it exports.</w:t>
            </w:r>
            <w:r>
              <w:t> 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Developed countries like the USA.</w:t>
            </w: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40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Current account surplus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When the country’s </w:t>
            </w:r>
            <w:r>
              <w:rPr>
                <w:highlight w:val="yellow"/>
              </w:rPr>
              <w:t>export revenue &gt; import expenditure</w:t>
            </w:r>
            <w:r>
              <w:t xml:space="preserve">. 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41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Expenditure reducing policies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highlight w:val="yellow"/>
              </w:rPr>
              <w:t>Measures a</w:t>
            </w:r>
            <w:r>
              <w:rPr>
                <w:highlight w:val="yellow"/>
              </w:rPr>
              <w:t xml:space="preserve"> government</w:t>
            </w:r>
            <w:r>
              <w:t xml:space="preserve"> may undertake to </w:t>
            </w:r>
            <w:r>
              <w:rPr>
                <w:highlight w:val="yellow"/>
              </w:rPr>
              <w:t>improve an imbalance in the current account</w:t>
            </w:r>
            <w:r>
              <w:t>. If a nation has a large current account deficit, a decrease in spending on imports moves the current account towards surplus.</w:t>
            </w:r>
          </w:p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This will cause a decrease in aggregate demand.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Exp</w:t>
            </w:r>
            <w:r>
              <w:rPr>
                <w:b/>
              </w:rPr>
              <w:t xml:space="preserve">enditure switching </w:t>
            </w:r>
            <w:r>
              <w:rPr>
                <w:b/>
              </w:rPr>
              <w:lastRenderedPageBreak/>
              <w:t>policies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lastRenderedPageBreak/>
              <w:t xml:space="preserve">Government tends to switch the consumer’s </w:t>
            </w:r>
            <w:r>
              <w:lastRenderedPageBreak/>
              <w:t>purchase on foreign goods to domestic goods.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</w:pPr>
            <w:r>
              <w:lastRenderedPageBreak/>
              <w:t>Implementation of protectionist policies on foreign goods.</w:t>
            </w:r>
          </w:p>
          <w:p w:rsidR="004D360A" w:rsidRDefault="006711F2">
            <w:pPr>
              <w:pStyle w:val="normal0"/>
              <w:spacing w:after="0" w:line="240" w:lineRule="auto"/>
              <w:contextualSpacing w:val="0"/>
            </w:pPr>
            <w:r>
              <w:lastRenderedPageBreak/>
              <w:t>Ex: Tariffs, Quotas.</w:t>
            </w: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43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Capital account deficit/surplus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Deficit - An imbalance in a nation's balance of payments capital account in which </w:t>
            </w:r>
            <w:r>
              <w:rPr>
                <w:highlight w:val="yellow"/>
              </w:rPr>
              <w:t>payments made by the country for purchasing foreign assets exceed payments received by the country for selling</w:t>
            </w:r>
            <w:r>
              <w:t xml:space="preserve"> domestic assets.</w:t>
            </w:r>
          </w:p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Surplus </w:t>
            </w:r>
            <w:proofErr w:type="gramStart"/>
            <w:r>
              <w:t xml:space="preserve">- </w:t>
            </w:r>
            <w:r>
              <w:rPr>
                <w:rFonts w:ascii="Verdana" w:eastAsia="Verdana" w:hAnsi="Verdana" w:cs="Verdana"/>
                <w:sz w:val="20"/>
                <w:highlight w:val="white"/>
              </w:rPr>
              <w:t xml:space="preserve"> </w:t>
            </w:r>
            <w:r>
              <w:t>An</w:t>
            </w:r>
            <w:proofErr w:type="gramEnd"/>
            <w:r>
              <w:t xml:space="preserve"> imbalance in a nation's balance </w:t>
            </w:r>
            <w:r>
              <w:t xml:space="preserve">of payments capital account in which </w:t>
            </w:r>
            <w:r>
              <w:rPr>
                <w:highlight w:val="yellow"/>
              </w:rPr>
              <w:t>payments received by the country for selling domestic assets exceed payments made by the country for purchasing</w:t>
            </w:r>
            <w:r>
              <w:t xml:space="preserve"> foreign assets.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44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Globalization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>Increasing economic interdependence of national economies across the wor</w:t>
            </w:r>
            <w:r>
              <w:t>ld through a rapid increase in cross-border movement of goods, service, technology, and capital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45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Trading bloc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A </w:t>
            </w:r>
            <w:r>
              <w:rPr>
                <w:highlight w:val="yellow"/>
              </w:rPr>
              <w:t>group of countries that join together to form an agreement to increase trade between themselves</w:t>
            </w:r>
            <w:r>
              <w:t xml:space="preserve"> or gain economic benefits from cooperation.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EU (European Union), AU (African Union), UNASUR (Union of South American Nations), CARICOM (Caribbean Community), NAFTA (North America Free Trade Agreement) </w:t>
            </w: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46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Free Trade Area (FTA)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Agreement made between countries where they </w:t>
            </w:r>
            <w:r>
              <w:rPr>
                <w:highlight w:val="yellow"/>
              </w:rPr>
              <w:t>agree to trade freely amongs</w:t>
            </w:r>
            <w:r>
              <w:rPr>
                <w:highlight w:val="yellow"/>
              </w:rPr>
              <w:t>t themselves</w:t>
            </w:r>
            <w:r>
              <w:t>, however they may choose to trade with countries outside this agreement however they may wish to.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47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Customs union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t xml:space="preserve">Agreement made between countries to </w:t>
            </w:r>
            <w:r>
              <w:lastRenderedPageBreak/>
              <w:t xml:space="preserve">freely trade between themselves but put up trade barriers TOGETHER as a union against any </w:t>
            </w:r>
            <w:r>
              <w:t>country attempting to import into this customs union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</w:tr>
      <w:tr w:rsidR="004D360A" w:rsidTr="004D360A">
        <w:tc>
          <w:tcPr>
            <w:tcW w:w="990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lastRenderedPageBreak/>
              <w:t>48</w:t>
            </w:r>
          </w:p>
        </w:tc>
        <w:tc>
          <w:tcPr>
            <w:tcW w:w="175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Common market</w:t>
            </w:r>
          </w:p>
        </w:tc>
        <w:tc>
          <w:tcPr>
            <w:tcW w:w="2395" w:type="dxa"/>
            <w:tcMar>
              <w:left w:w="108" w:type="dxa"/>
              <w:right w:w="108" w:type="dxa"/>
            </w:tcMar>
          </w:tcPr>
          <w:p w:rsidR="004D360A" w:rsidRDefault="006711F2">
            <w:pPr>
              <w:pStyle w:val="normal0"/>
              <w:spacing w:after="0" w:line="240" w:lineRule="auto"/>
              <w:contextualSpacing w:val="0"/>
              <w:jc w:val="center"/>
            </w:pPr>
            <w:bookmarkStart w:id="1" w:name="h.gjdgxs" w:colFirst="0" w:colLast="0"/>
            <w:bookmarkEnd w:id="1"/>
            <w:r>
              <w:t xml:space="preserve">A customs union with common policies on product regulation and free movement of goods, services, capital and </w:t>
            </w:r>
            <w:proofErr w:type="spellStart"/>
            <w:r>
              <w:t>labour</w:t>
            </w:r>
            <w:proofErr w:type="spellEnd"/>
            <w:r>
              <w:t>.</w:t>
            </w:r>
          </w:p>
        </w:tc>
        <w:tc>
          <w:tcPr>
            <w:tcW w:w="4988" w:type="dxa"/>
            <w:tcMar>
              <w:left w:w="108" w:type="dxa"/>
              <w:right w:w="108" w:type="dxa"/>
            </w:tcMar>
          </w:tcPr>
          <w:p w:rsidR="004D360A" w:rsidRDefault="004D360A">
            <w:pPr>
              <w:pStyle w:val="normal0"/>
              <w:spacing w:after="0" w:line="240" w:lineRule="auto"/>
              <w:contextualSpacing w:val="0"/>
              <w:jc w:val="center"/>
            </w:pPr>
          </w:p>
        </w:tc>
      </w:tr>
    </w:tbl>
    <w:p w:rsidR="004D360A" w:rsidRDefault="004D360A">
      <w:pPr>
        <w:pStyle w:val="normal0"/>
        <w:jc w:val="center"/>
      </w:pPr>
    </w:p>
    <w:sectPr w:rsidR="004D360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360A"/>
    <w:rsid w:val="004D360A"/>
    <w:rsid w:val="0067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gif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2066</Words>
  <Characters>11780</Characters>
  <Application>Microsoft Macintosh Word</Application>
  <DocSecurity>0</DocSecurity>
  <Lines>98</Lines>
  <Paragraphs>27</Paragraphs>
  <ScaleCrop>false</ScaleCrop>
  <Company>isd</Company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Dictionary - 400.docx</dc:title>
  <cp:lastModifiedBy>ted buckley</cp:lastModifiedBy>
  <cp:revision>2</cp:revision>
  <dcterms:created xsi:type="dcterms:W3CDTF">2015-04-16T13:15:00Z</dcterms:created>
  <dcterms:modified xsi:type="dcterms:W3CDTF">2015-04-16T13:15:00Z</dcterms:modified>
</cp:coreProperties>
</file>