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695CD6" w14:textId="4066415D" w:rsidR="00496B28" w:rsidRDefault="00756111">
      <w:pPr>
        <w:pStyle w:val="normal0"/>
        <w:widowControl w:val="0"/>
        <w:jc w:val="center"/>
      </w:pPr>
      <w:r>
        <w:rPr>
          <w:rFonts w:ascii="Times" w:hAnsi="Times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AEB26" wp14:editId="706BFE0C">
                <wp:simplePos x="0" y="0"/>
                <wp:positionH relativeFrom="column">
                  <wp:posOffset>6743700</wp:posOffset>
                </wp:positionH>
                <wp:positionV relativeFrom="paragraph">
                  <wp:posOffset>-228600</wp:posOffset>
                </wp:positionV>
                <wp:extent cx="1943100" cy="6858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D2B75" w14:textId="77777777" w:rsidR="00756111" w:rsidRDefault="00756111" w:rsidP="00756111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Webnote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426</w:t>
                            </w:r>
                          </w:p>
                          <w:p w14:paraId="39F8C6D3" w14:textId="77777777" w:rsidR="00756111" w:rsidRDefault="00756111" w:rsidP="0075611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Syllabus: Items 168 -169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pt;margin-top:-17.95pt;width:15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+B9+QCAAA+BgAADgAAAGRycy9lMm9Eb2MueG1srFTfb9owEH6ftP/B8jtNwkILUUOVUjFNqtpq&#10;7dRn49gQzbE920C6af/77hygtNvDOo2HcPZ9d7777sf5RdcqshHON0aXNDtJKRGam7rRy5J+eZgP&#10;xpT4wHTNlNGipE/C04vp+3fnW1uIoVkZVQtHwIn2xdaWdBWCLZLE85VomT8xVmhQSuNaFuDolknt&#10;2Ba8tyoZpulpsjWuts5w4T3cXvVKOo3+pRQ83ErpRSCqpBBbiF8Xvwv8JtNzViwds6uG78Jg/xBF&#10;yxoNjx5cXbHAyNo1v7lqG+6MNzKccNMmRsqGi5gDZJOlr7K5XzErYi5AjrcHmvz/c8tvNneONHVJ&#10;h5Ro1kKJHkQXyKXpyBDZ2VpfAOjeAix0cA1V3t97uMSkO+la/Id0COiB56cDt+iMo9Ek/5CloOKg&#10;Ox2PxiCD++TZ2jofPgrTEhRK6qB2kVK2ufahh+4h+Jg3qqnnjVLx4JaLmXJkw6DOc/gdvL+AKY1g&#10;bdCs99jfiNgp/TOsgJBBRCQGH6v4YzY6G1Zno8ngtBplgzxLx4OqSoeDq3mVVmk+n03yy58Qbsuy&#10;vNhCP1noRmQSGJsrttzVDtV/V7yW8RetnmVJbLI+bHAcuduHmmCZ+nJEKTwpgQko/VlIKG+sSiQK&#10;B0scqGKcCx1iQaESEY0oCfy8xXCHj5RFKt9i3JMPFvFlo8PBuG20cbEH4j54Drv+ug9Z9ngg4yhv&#10;FEO36GJfH7p1YeonaGJn+iXgLZ830GnXzIc75mDqoTlhk4Vb+EhltiU1O4mSlXHf/3SPeKgnaCnB&#10;qpfUf1szJyhRnzSM6STLc1w78ZBDD8HBHWsWxxq9bmcGGjiDnWl5FBEf1F6UzrSPsPAqfBVUTHN4&#10;u6RhL85Cv9tgYXJRVREEi8aycK3vLUfXyDLO0UP3yJzdDVuARrox+33Dilcz12PRUptqHYxs4kAi&#10;zz2rO/5hScW23C1U3ILH54h6XvvTXwAAAP//AwBQSwMEFAAGAAgAAAAhAI9TlhTfAAAADAEAAA8A&#10;AABkcnMvZG93bnJldi54bWxMj8FOwzAQRO9I/IO1SNxaJ6lISohToQoO3NrCB2zjJTHEdojdJvw9&#10;2xM9zu5o5k21mW0vzjQG452CdJmAINd4bVyr4OP9dbEGESI6jb13pOCXAmzq25sKS+0nt6fzIbaC&#10;Q1woUUEX41BKGZqOLIalH8jx79OPFiPLsZV6xInDbS+zJMmlReO4ocOBth0134eTVVAYvd1Nzf7r&#10;Zff2M5o8LdAUhVL3d/PzE4hIc/w3wwWf0aFmpqM/OR1EzzrJMx4TFSxWD48gLpZVvubTkQuyFGRd&#10;yesR9R8AAAD//wMAUEsBAi0AFAAGAAgAAAAhAOSZw8D7AAAA4QEAABMAAAAAAAAAAAAAAAAAAAAA&#10;AFtDb250ZW50X1R5cGVzXS54bWxQSwECLQAUAAYACAAAACEAI7Jq4dcAAACUAQAACwAAAAAAAAAA&#10;AAAAAAAsAQAAX3JlbHMvLnJlbHNQSwECLQAUAAYACAAAACEAAa+B9+QCAAA+BgAADgAAAAAAAAAA&#10;AAAAAAAsAgAAZHJzL2Uyb0RvYy54bWxQSwECLQAUAAYACAAAACEAj1OWFN8AAAAMAQAADwAAAAAA&#10;AAAAAAAAAAA8BQAAZHJzL2Rvd25yZXYueG1sUEsFBgAAAAAEAAQA8wAAAEgGAAAAAA==&#10;" fillcolor="yellow" stroked="f">
                <v:textbox>
                  <w:txbxContent>
                    <w:p w14:paraId="017D2B75" w14:textId="77777777" w:rsidR="00756111" w:rsidRDefault="00756111" w:rsidP="00756111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rPr>
                          <w:rFonts w:cs="Times New Roman"/>
                        </w:rPr>
                        <w:t>Webnote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426</w:t>
                      </w:r>
                    </w:p>
                    <w:p w14:paraId="39F8C6D3" w14:textId="77777777" w:rsidR="00756111" w:rsidRDefault="00756111" w:rsidP="00756111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Syllabus: Items 168 -169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0C1D" wp14:editId="2223BB2F">
                <wp:simplePos x="0" y="0"/>
                <wp:positionH relativeFrom="column">
                  <wp:posOffset>6858000</wp:posOffset>
                </wp:positionH>
                <wp:positionV relativeFrom="paragraph">
                  <wp:posOffset>-114300</wp:posOffset>
                </wp:positionV>
                <wp:extent cx="24003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6654C" w14:textId="77777777" w:rsidR="00756111" w:rsidRDefault="00756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540pt;margin-top:-8.95pt;width:18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44csCAAAO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cRrHH2KYOGyT&#10;k2QCGW6i59vaWPdRqJZ4IacGtQuUss21dT10B/GPSTWvmwZ6ljXyhQI+e40IDdDfZhkigeiRPqZQ&#10;nB+zycm4OJmcjY6LSTJKk/h0VBTxeHQ1L+IiTuezs/TyJ6JoWZJmW7SJRpN5gkDEvGHLoSTe/Hc1&#10;aRl/0cFJEoXe6fOD40DJLtTIs9+zHCT31Ig+4c+iQtUC2V4R5kXMGkM2DJ3OOBfShToFMoD2qAqE&#10;veXigA+UBSrfcrknf/eykm5/ua2lMqG0r8Iuv+5Crno8yDjI24uuW3TgyosLVT6hKY3qh9pqPq/R&#10;OdfMujtmMMVoNmwmd4tP1ahtTtUgUbJS5vuf9B6PQsJKiS93Tu23NTOCkuaTxNidJWnq10g4pGge&#10;HMyhZXFoket2plAOjBaiC6LHu2YnVka1j1hghX8VJiY53s6p24kz1+8qLEAuiiKAsDg0c9fyXnPv&#10;2lfHz8VD98iMHobHoYNu1G5/sOzVDPVYf1OqYu1UVYcBe2Z1IB5LJ/TjsCD9Vjs8B9TzGp/+AgAA&#10;//8DAFBLAwQUAAYACAAAACEAuVwyld8AAAAMAQAADwAAAGRycy9kb3ducmV2LnhtbEyPwW7CMBBE&#10;75X4B2sr9QZ2EJSQxkGoVa+tCrRSbyZekqjxOooNSf++y6kcZ3Y0+ybfjK4VF+xD40lDMlMgkEpv&#10;G6o0HPav0xREiIasaT2hhl8MsCkmd7nJrB/oAy+7WAkuoZAZDXWMXSZlKGt0Jsx8h8S3k++diSz7&#10;StreDFzuWjlX6lE60xB/qE2HzzWWP7uz0/D5dvr+Wqj36sUtu8GPSpJbS60f7sftE4iIY/wPwxWf&#10;0aFgpqM/kw2iZa1SxWOihmmyWoO4RhbLlK2jhtU8AVnk8nZE8QcAAP//AwBQSwECLQAUAAYACAAA&#10;ACEA5JnDwPsAAADhAQAAEwAAAAAAAAAAAAAAAAAAAAAAW0NvbnRlbnRfVHlwZXNdLnhtbFBLAQIt&#10;ABQABgAIAAAAIQAjsmrh1wAAAJQBAAALAAAAAAAAAAAAAAAAACwBAABfcmVscy8ucmVsc1BLAQIt&#10;ABQABgAIAAAAIQARqzjhywIAAA4GAAAOAAAAAAAAAAAAAAAAACwCAABkcnMvZTJvRG9jLnhtbFBL&#10;AQItABQABgAIAAAAIQC5XDKV3wAAAAwBAAAPAAAAAAAAAAAAAAAAACMFAABkcnMvZG93bnJldi54&#10;bWxQSwUGAAAAAAQABADzAAAALwYAAAAA&#10;" filled="f" stroked="f">
                <v:textbox>
                  <w:txbxContent>
                    <w:p w14:paraId="5F96654C" w14:textId="77777777" w:rsidR="00756111" w:rsidRDefault="00756111"/>
                  </w:txbxContent>
                </v:textbox>
                <w10:wrap type="square"/>
              </v:shape>
            </w:pict>
          </mc:Fallback>
        </mc:AlternateContent>
      </w:r>
      <w:r w:rsidR="00580860">
        <w:rPr>
          <w:rFonts w:ascii="Calibri" w:eastAsia="Calibri" w:hAnsi="Calibri" w:cs="Calibri"/>
          <w:b/>
          <w:u w:val="single"/>
        </w:rPr>
        <w:t>4.2 Measuring Development - Summary Notes (chapter 28)</w:t>
      </w:r>
      <w:r w:rsidRPr="00756111">
        <w:rPr>
          <w:rFonts w:ascii="Times" w:hAnsi="Times"/>
          <w:color w:val="auto"/>
          <w:sz w:val="20"/>
        </w:rPr>
        <w:t xml:space="preserve"> </w:t>
      </w:r>
      <w:r w:rsidR="00387707">
        <w:rPr>
          <w:rStyle w:val="FootnoteReference"/>
          <w:rFonts w:ascii="Times" w:hAnsi="Times"/>
          <w:color w:val="auto"/>
          <w:sz w:val="20"/>
        </w:rPr>
        <w:footnoteReference w:id="1"/>
      </w:r>
    </w:p>
    <w:p w14:paraId="431B8523" w14:textId="77777777" w:rsidR="00496B28" w:rsidRDefault="00580860" w:rsidP="0013120B">
      <w:pPr>
        <w:pStyle w:val="normal0"/>
        <w:widowControl w:val="0"/>
        <w:ind w:left="1440" w:firstLine="720"/>
      </w:pPr>
      <w:r>
        <w:rPr>
          <w:rFonts w:ascii="Calibri" w:eastAsia="Calibri" w:hAnsi="Calibri" w:cs="Calibri"/>
          <w:b/>
        </w:rPr>
        <w:t>Syllabus Reference - Content</w:t>
      </w:r>
    </w:p>
    <w:p w14:paraId="11CF7240" w14:textId="2287E6E6" w:rsidR="00496B28" w:rsidRDefault="0039752A">
      <w:pPr>
        <w:pStyle w:val="normal0"/>
        <w:widowControl w:val="0"/>
      </w:pPr>
      <w:r>
        <w:t xml:space="preserve">  </w:t>
      </w:r>
    </w:p>
    <w:tbl>
      <w:tblPr>
        <w:tblW w:w="10699" w:type="dxa"/>
        <w:tblInd w:w="1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5"/>
        <w:gridCol w:w="4904"/>
      </w:tblGrid>
      <w:tr w:rsidR="0039752A" w14:paraId="604F92E5" w14:textId="77777777" w:rsidTr="0039752A">
        <w:trPr>
          <w:trHeight w:val="239"/>
        </w:trPr>
        <w:tc>
          <w:tcPr>
            <w:tcW w:w="5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AF41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Single Indicators - I can:</w:t>
            </w: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3EAE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Composite indicators - I can:</w:t>
            </w:r>
          </w:p>
        </w:tc>
      </w:tr>
      <w:tr w:rsidR="0039752A" w14:paraId="322FDB12" w14:textId="77777777" w:rsidTr="0039752A">
        <w:trPr>
          <w:trHeight w:val="3675"/>
        </w:trPr>
        <w:tc>
          <w:tcPr>
            <w:tcW w:w="5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346E" w14:textId="77777777" w:rsidR="00496B28" w:rsidRDefault="00580860">
            <w:pPr>
              <w:pStyle w:val="normal0"/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Distinguish between GDP per capita figures and GNI per capita figures.</w:t>
            </w:r>
          </w:p>
          <w:p w14:paraId="46BF469D" w14:textId="77777777" w:rsidR="00496B28" w:rsidRDefault="00580860">
            <w:pPr>
              <w:pStyle w:val="normal0"/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Compare and contrast the GDP per capita figures and the GNI per capita figures for economically more developed countries and economically less developed countries.</w:t>
            </w:r>
          </w:p>
          <w:p w14:paraId="3304C908" w14:textId="77777777" w:rsidR="00496B28" w:rsidRDefault="00580860">
            <w:pPr>
              <w:pStyle w:val="normal0"/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Distinguish between GDP per capita figures and GDP per capita figures at purchasing power parity (PPP) exchange rates.</w:t>
            </w:r>
          </w:p>
          <w:p w14:paraId="59A10322" w14:textId="77777777" w:rsidR="00496B28" w:rsidRDefault="00580860">
            <w:pPr>
              <w:pStyle w:val="normal0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Compare and contrast GDP per capita figures and GDP per capita figures at purchasing power parity (PPP) exchange rates for economically more developed countries and economically less developed countries.</w:t>
            </w:r>
          </w:p>
          <w:p w14:paraId="11021748" w14:textId="77777777" w:rsidR="00496B28" w:rsidRDefault="00580860">
            <w:pPr>
              <w:pStyle w:val="normal0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Compare and contrast two health indicators for economically more developed countries and economically less developed countries.</w:t>
            </w:r>
          </w:p>
          <w:p w14:paraId="1843D629" w14:textId="77777777" w:rsidR="00496B28" w:rsidRDefault="00580860">
            <w:pPr>
              <w:pStyle w:val="normal0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Compare and contrast two education indicators for economically more developed countries and economically less developed countries.</w:t>
            </w:r>
          </w:p>
        </w:tc>
        <w:tc>
          <w:tcPr>
            <w:tcW w:w="4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B4CA" w14:textId="77777777" w:rsidR="00496B28" w:rsidRDefault="00580860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Explain that composite indicators include more than one measure and so are considered to be better indicators of economic development.</w:t>
            </w:r>
          </w:p>
          <w:p w14:paraId="0DD397AE" w14:textId="77777777" w:rsidR="00496B28" w:rsidRDefault="00580860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Explain the measures that make up the Human Development Index (HDI).</w:t>
            </w:r>
          </w:p>
          <w:p w14:paraId="096EB014" w14:textId="77777777" w:rsidR="00496B28" w:rsidRDefault="00580860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Compare and contrast the HDI figures for economically more developed countries and economically less developed countries.</w:t>
            </w:r>
          </w:p>
          <w:p w14:paraId="766595C7" w14:textId="77777777" w:rsidR="00496B28" w:rsidRDefault="00580860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Explain why a country’s GDP/GNI per capita global ranking may be lower, or higher, than its HDI Index</w:t>
            </w:r>
          </w:p>
        </w:tc>
      </w:tr>
    </w:tbl>
    <w:p w14:paraId="70F40B0B" w14:textId="77777777" w:rsidR="00496B28" w:rsidRDefault="00496B28">
      <w:pPr>
        <w:pStyle w:val="normal0"/>
        <w:widowControl w:val="0"/>
      </w:pPr>
    </w:p>
    <w:p w14:paraId="22D78CA4" w14:textId="77777777" w:rsidR="003707A6" w:rsidRDefault="00580860" w:rsidP="0013120B">
      <w:pPr>
        <w:pStyle w:val="normal0"/>
        <w:widowControl w:val="0"/>
        <w:ind w:left="2160"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Relative poverty</w:t>
      </w:r>
      <w:r>
        <w:rPr>
          <w:rFonts w:ascii="Calibri" w:eastAsia="Calibri" w:hAnsi="Calibri" w:cs="Calibri"/>
        </w:rPr>
        <w:t xml:space="preserve"> - Comparative level of poverty.</w:t>
      </w:r>
      <w:proofErr w:type="gramEnd"/>
      <w:r>
        <w:rPr>
          <w:rFonts w:ascii="Calibri" w:eastAsia="Calibri" w:hAnsi="Calibri" w:cs="Calibri"/>
        </w:rPr>
        <w:t xml:space="preserve"> A person could be said to be in relative poverty </w:t>
      </w:r>
    </w:p>
    <w:p w14:paraId="5D58861A" w14:textId="423B34F6" w:rsidR="00496B28" w:rsidRDefault="00580860" w:rsidP="0013120B">
      <w:pPr>
        <w:pStyle w:val="normal0"/>
        <w:widowControl w:val="0"/>
        <w:ind w:left="2160" w:firstLine="720"/>
      </w:pPr>
      <w:proofErr w:type="gramStart"/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</w:rPr>
        <w:t xml:space="preserve"> they fail to earn an income over the 50% average.</w:t>
      </w:r>
    </w:p>
    <w:p w14:paraId="281D7CDF" w14:textId="77777777" w:rsidR="00496B28" w:rsidRDefault="00496B28">
      <w:pPr>
        <w:pStyle w:val="normal0"/>
        <w:widowControl w:val="0"/>
      </w:pPr>
    </w:p>
    <w:p w14:paraId="746BA2D9" w14:textId="77777777" w:rsidR="003707A6" w:rsidRDefault="00580860" w:rsidP="0013120B">
      <w:pPr>
        <w:pStyle w:val="normal0"/>
        <w:widowControl w:val="0"/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Absolute poverty </w:t>
      </w:r>
      <w:r>
        <w:rPr>
          <w:rFonts w:ascii="Calibri" w:eastAsia="Calibri" w:hAnsi="Calibri" w:cs="Calibri"/>
        </w:rPr>
        <w:t xml:space="preserve">- Measured in terms of the basic necessities for survival. What level of income </w:t>
      </w:r>
      <w:proofErr w:type="gramStart"/>
      <w:r>
        <w:rPr>
          <w:rFonts w:ascii="Calibri" w:eastAsia="Calibri" w:hAnsi="Calibri" w:cs="Calibri"/>
        </w:rPr>
        <w:t>is</w:t>
      </w:r>
      <w:proofErr w:type="gramEnd"/>
    </w:p>
    <w:p w14:paraId="0E4C404C" w14:textId="1A92CF7D" w:rsidR="00496B28" w:rsidRDefault="00580860" w:rsidP="0013120B">
      <w:pPr>
        <w:pStyle w:val="normal0"/>
        <w:widowControl w:val="0"/>
        <w:ind w:left="2880"/>
      </w:pPr>
      <w:proofErr w:type="gramStart"/>
      <w:r>
        <w:rPr>
          <w:rFonts w:ascii="Calibri" w:eastAsia="Calibri" w:hAnsi="Calibri" w:cs="Calibri"/>
        </w:rPr>
        <w:t>required</w:t>
      </w:r>
      <w:proofErr w:type="gramEnd"/>
      <w:r>
        <w:rPr>
          <w:rFonts w:ascii="Calibri" w:eastAsia="Calibri" w:hAnsi="Calibri" w:cs="Calibri"/>
        </w:rPr>
        <w:t xml:space="preserve"> to buy items such as food, clothing and shelter? World bank has set levels of $1.25 per day (absolute poverty) and $2.00 per day (relative poverty).</w:t>
      </w:r>
    </w:p>
    <w:p w14:paraId="1E4B4973" w14:textId="77777777" w:rsidR="00496B28" w:rsidRDefault="00496B28">
      <w:pPr>
        <w:pStyle w:val="normal0"/>
        <w:widowControl w:val="0"/>
      </w:pPr>
    </w:p>
    <w:p w14:paraId="494D9033" w14:textId="463B6C09" w:rsidR="00496B28" w:rsidRDefault="003707A6" w:rsidP="003707A6">
      <w:pPr>
        <w:pStyle w:val="normal0"/>
        <w:widowControl w:val="0"/>
        <w:ind w:firstLine="720"/>
      </w:pPr>
      <w:r>
        <w:rPr>
          <w:rFonts w:ascii="Calibri" w:eastAsia="Calibri" w:hAnsi="Calibri" w:cs="Calibri"/>
        </w:rPr>
        <w:lastRenderedPageBreak/>
        <w:t xml:space="preserve">                  </w:t>
      </w:r>
      <w:r w:rsidR="00580860">
        <w:rPr>
          <w:rFonts w:ascii="Calibri" w:eastAsia="Calibri" w:hAnsi="Calibri" w:cs="Calibri"/>
        </w:rPr>
        <w:t xml:space="preserve">Countries with % of population </w:t>
      </w:r>
      <w:r w:rsidR="00580860">
        <w:rPr>
          <w:rFonts w:ascii="Calibri" w:eastAsia="Calibri" w:hAnsi="Calibri" w:cs="Calibri"/>
          <w:b/>
        </w:rPr>
        <w:t xml:space="preserve">below </w:t>
      </w:r>
      <w:r w:rsidR="00580860">
        <w:rPr>
          <w:rFonts w:ascii="Calibri" w:eastAsia="Calibri" w:hAnsi="Calibri" w:cs="Calibri"/>
        </w:rPr>
        <w:t>the poverty line</w:t>
      </w:r>
    </w:p>
    <w:tbl>
      <w:tblPr>
        <w:tblW w:w="11797" w:type="dxa"/>
        <w:tblInd w:w="1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2"/>
        <w:gridCol w:w="3724"/>
        <w:gridCol w:w="5571"/>
      </w:tblGrid>
      <w:tr w:rsidR="0039752A" w14:paraId="0B502B67" w14:textId="77777777" w:rsidTr="0039752A">
        <w:trPr>
          <w:trHeight w:val="146"/>
        </w:trPr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E30C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Country</w:t>
            </w:r>
          </w:p>
        </w:tc>
        <w:tc>
          <w:tcPr>
            <w:tcW w:w="3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1A20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% </w:t>
            </w:r>
            <w:proofErr w:type="gramStart"/>
            <w:r>
              <w:rPr>
                <w:rFonts w:ascii="Calibri" w:eastAsia="Calibri" w:hAnsi="Calibri" w:cs="Calibri"/>
                <w:b/>
              </w:rPr>
              <w:t>of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population with income below absolute poverty ($1.25)</w:t>
            </w:r>
          </w:p>
        </w:tc>
        <w:tc>
          <w:tcPr>
            <w:tcW w:w="55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2480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% </w:t>
            </w:r>
            <w:proofErr w:type="gramStart"/>
            <w:r>
              <w:rPr>
                <w:rFonts w:ascii="Calibri" w:eastAsia="Calibri" w:hAnsi="Calibri" w:cs="Calibri"/>
                <w:b/>
              </w:rPr>
              <w:t>of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population with income below moderate poverty ($2.00)</w:t>
            </w:r>
          </w:p>
        </w:tc>
      </w:tr>
      <w:tr w:rsidR="0039752A" w14:paraId="2ACB8BE5" w14:textId="77777777" w:rsidTr="0039752A">
        <w:trPr>
          <w:trHeight w:val="283"/>
        </w:trPr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CD49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Zambia</w:t>
            </w:r>
          </w:p>
        </w:tc>
        <w:tc>
          <w:tcPr>
            <w:tcW w:w="3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2C35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64.3</w:t>
            </w:r>
          </w:p>
        </w:tc>
        <w:tc>
          <w:tcPr>
            <w:tcW w:w="55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BA0F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81.5</w:t>
            </w:r>
          </w:p>
        </w:tc>
      </w:tr>
      <w:tr w:rsidR="0039752A" w14:paraId="27856C81" w14:textId="77777777" w:rsidTr="0039752A">
        <w:trPr>
          <w:trHeight w:val="283"/>
        </w:trPr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9DBE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Niger</w:t>
            </w:r>
          </w:p>
        </w:tc>
        <w:tc>
          <w:tcPr>
            <w:tcW w:w="3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5BCA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65.9</w:t>
            </w:r>
          </w:p>
        </w:tc>
        <w:tc>
          <w:tcPr>
            <w:tcW w:w="55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1F17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85.6</w:t>
            </w:r>
          </w:p>
        </w:tc>
      </w:tr>
      <w:tr w:rsidR="0039752A" w14:paraId="5355D0AC" w14:textId="77777777" w:rsidTr="0039752A">
        <w:trPr>
          <w:trHeight w:val="263"/>
        </w:trPr>
        <w:tc>
          <w:tcPr>
            <w:tcW w:w="2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5EB7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Madagascar</w:t>
            </w:r>
          </w:p>
        </w:tc>
        <w:tc>
          <w:tcPr>
            <w:tcW w:w="3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61C1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67.8</w:t>
            </w:r>
          </w:p>
        </w:tc>
        <w:tc>
          <w:tcPr>
            <w:tcW w:w="55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09B2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89.6</w:t>
            </w:r>
          </w:p>
        </w:tc>
      </w:tr>
    </w:tbl>
    <w:p w14:paraId="1E333C9D" w14:textId="77777777" w:rsidR="00496B28" w:rsidRDefault="00496B28">
      <w:pPr>
        <w:pStyle w:val="normal0"/>
        <w:widowControl w:val="0"/>
      </w:pPr>
    </w:p>
    <w:p w14:paraId="76BFF944" w14:textId="77777777" w:rsidR="003707A6" w:rsidRDefault="00580860" w:rsidP="0013120B">
      <w:pPr>
        <w:pStyle w:val="normal0"/>
        <w:widowControl w:val="0"/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Many of these countries are caught in poverty cycles.</w:t>
      </w:r>
    </w:p>
    <w:p w14:paraId="7580BB55" w14:textId="5169A75F" w:rsidR="003707A6" w:rsidRDefault="00580860" w:rsidP="0039752A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3707A6">
        <w:rPr>
          <w:rFonts w:ascii="Calibri" w:eastAsia="Calibri" w:hAnsi="Calibri" w:cs="Calibri"/>
        </w:rPr>
        <w:tab/>
      </w:r>
      <w:r w:rsidR="003707A6">
        <w:rPr>
          <w:rFonts w:ascii="Calibri" w:eastAsia="Calibri" w:hAnsi="Calibri" w:cs="Calibri"/>
        </w:rPr>
        <w:tab/>
      </w:r>
      <w:r w:rsidR="0013120B">
        <w:rPr>
          <w:rFonts w:ascii="Calibri" w:eastAsia="Calibri" w:hAnsi="Calibri" w:cs="Calibri"/>
        </w:rPr>
        <w:tab/>
      </w:r>
      <w:r w:rsidR="0013120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Low Economic Growth &gt; Low Income &gt; Low Savings &gt; Low Investment &gt; Low Economic Growth</w:t>
      </w:r>
    </w:p>
    <w:p w14:paraId="1B7A1FFA" w14:textId="14D627C2" w:rsidR="00496B28" w:rsidRDefault="003707A6" w:rsidP="0013120B">
      <w:pPr>
        <w:pStyle w:val="normal0"/>
        <w:widowControl w:val="0"/>
        <w:ind w:left="2160" w:firstLine="720"/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</w:rPr>
        <w:t>M</w:t>
      </w:r>
      <w:r w:rsidR="00580860">
        <w:rPr>
          <w:rFonts w:ascii="Calibri" w:eastAsia="Calibri" w:hAnsi="Calibri" w:cs="Calibri"/>
          <w:b/>
          <w:u w:val="single"/>
        </w:rPr>
        <w:t>easures of Economic Development</w:t>
      </w:r>
    </w:p>
    <w:p w14:paraId="6026A958" w14:textId="77777777" w:rsidR="003707A6" w:rsidRDefault="003707A6" w:rsidP="003707A6">
      <w:pPr>
        <w:pStyle w:val="normal0"/>
        <w:widowControl w:val="0"/>
        <w:ind w:firstLine="720"/>
      </w:pPr>
    </w:p>
    <w:p w14:paraId="37298280" w14:textId="13E8E163" w:rsidR="00496B28" w:rsidRDefault="00496B28" w:rsidP="003707A6">
      <w:pPr>
        <w:pStyle w:val="normal0"/>
        <w:widowControl w:val="0"/>
        <w:ind w:firstLine="720"/>
      </w:pPr>
    </w:p>
    <w:tbl>
      <w:tblPr>
        <w:tblW w:w="11789" w:type="dxa"/>
        <w:tblInd w:w="1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6"/>
        <w:gridCol w:w="4725"/>
        <w:gridCol w:w="5448"/>
      </w:tblGrid>
      <w:tr w:rsidR="0039752A" w14:paraId="176E332C" w14:textId="77777777" w:rsidTr="0039752A">
        <w:trPr>
          <w:trHeight w:val="340"/>
        </w:trPr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49AE" w14:textId="7538823A" w:rsidR="00496B28" w:rsidRDefault="003707A6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Single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Incicators</w:t>
            </w:r>
            <w:proofErr w:type="spellEnd"/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889B" w14:textId="77777777" w:rsidR="00496B28" w:rsidRDefault="0058086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Description/Definition</w:t>
            </w:r>
          </w:p>
        </w:tc>
        <w:tc>
          <w:tcPr>
            <w:tcW w:w="5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6778" w14:textId="77777777" w:rsidR="00496B28" w:rsidRDefault="0058086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Examples</w:t>
            </w:r>
          </w:p>
        </w:tc>
      </w:tr>
      <w:tr w:rsidR="0039752A" w14:paraId="356EAA02" w14:textId="77777777" w:rsidTr="0039752A">
        <w:trPr>
          <w:trHeight w:val="313"/>
        </w:trPr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EAE2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Financial Measures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E062" w14:textId="77777777" w:rsidR="00496B28" w:rsidRDefault="00496B28">
            <w:pPr>
              <w:pStyle w:val="normal0"/>
              <w:widowControl w:val="0"/>
              <w:spacing w:line="240" w:lineRule="auto"/>
            </w:pPr>
          </w:p>
        </w:tc>
        <w:tc>
          <w:tcPr>
            <w:tcW w:w="5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C1E0" w14:textId="77777777" w:rsidR="00496B28" w:rsidRDefault="00496B28">
            <w:pPr>
              <w:pStyle w:val="normal0"/>
              <w:widowControl w:val="0"/>
              <w:spacing w:line="240" w:lineRule="auto"/>
            </w:pPr>
          </w:p>
        </w:tc>
      </w:tr>
      <w:tr w:rsidR="0039752A" w14:paraId="0310D540" w14:textId="77777777" w:rsidTr="0039752A">
        <w:trPr>
          <w:trHeight w:val="1301"/>
        </w:trPr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DD79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- GDP per capita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677D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Total economic activity in a country regardless of who owns the productive assets, divided by the total of the population. Foreign firms producing inside the country </w:t>
            </w:r>
            <w:r>
              <w:rPr>
                <w:rFonts w:ascii="Calibri" w:eastAsia="Calibri" w:hAnsi="Calibri" w:cs="Calibri"/>
                <w:b/>
              </w:rPr>
              <w:t>are</w:t>
            </w:r>
            <w:r>
              <w:rPr>
                <w:rFonts w:ascii="Calibri" w:eastAsia="Calibri" w:hAnsi="Calibri" w:cs="Calibri"/>
              </w:rPr>
              <w:t xml:space="preserve"> included. Domestic firms producing outside of the country </w:t>
            </w:r>
            <w:r>
              <w:rPr>
                <w:rFonts w:ascii="Calibri" w:eastAsia="Calibri" w:hAnsi="Calibri" w:cs="Calibri"/>
                <w:b/>
              </w:rPr>
              <w:t>are not</w:t>
            </w:r>
            <w:r>
              <w:rPr>
                <w:rFonts w:ascii="Calibri" w:eastAsia="Calibri" w:hAnsi="Calibri" w:cs="Calibri"/>
              </w:rPr>
              <w:t xml:space="preserve"> included.</w:t>
            </w:r>
          </w:p>
        </w:tc>
        <w:tc>
          <w:tcPr>
            <w:tcW w:w="5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FC0E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Includes FDI investment. Therefore this figure can be significantly higher than GNI. India had FDI of $41,554 Million in 2008. The following figures are for 2008 in US$.</w:t>
            </w:r>
          </w:p>
          <w:p w14:paraId="36B9702A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USA</w:t>
            </w:r>
            <w:r>
              <w:rPr>
                <w:rFonts w:ascii="Calibri" w:eastAsia="Calibri" w:hAnsi="Calibri" w:cs="Calibri"/>
              </w:rPr>
              <w:t xml:space="preserve"> - 46,350, </w:t>
            </w:r>
            <w:r>
              <w:rPr>
                <w:rFonts w:ascii="Calibri" w:eastAsia="Calibri" w:hAnsi="Calibri" w:cs="Calibri"/>
                <w:b/>
              </w:rPr>
              <w:t>UK</w:t>
            </w:r>
            <w:r>
              <w:rPr>
                <w:rFonts w:ascii="Calibri" w:eastAsia="Calibri" w:hAnsi="Calibri" w:cs="Calibri"/>
              </w:rPr>
              <w:t xml:space="preserve"> - 43,541,</w:t>
            </w:r>
            <w:r>
              <w:rPr>
                <w:rFonts w:ascii="Calibri" w:eastAsia="Calibri" w:hAnsi="Calibri" w:cs="Calibri"/>
                <w:b/>
              </w:rPr>
              <w:t xml:space="preserve"> Indonesia</w:t>
            </w:r>
            <w:r>
              <w:rPr>
                <w:rFonts w:ascii="Calibri" w:eastAsia="Calibri" w:hAnsi="Calibri" w:cs="Calibri"/>
              </w:rPr>
              <w:t xml:space="preserve"> - 2,246, </w:t>
            </w:r>
            <w:r>
              <w:rPr>
                <w:rFonts w:ascii="Calibri" w:eastAsia="Calibri" w:hAnsi="Calibri" w:cs="Calibri"/>
                <w:b/>
              </w:rPr>
              <w:t>Vietnam</w:t>
            </w:r>
            <w:r>
              <w:rPr>
                <w:rFonts w:ascii="Calibri" w:eastAsia="Calibri" w:hAnsi="Calibri" w:cs="Calibri"/>
              </w:rPr>
              <w:t xml:space="preserve"> - 1,051</w:t>
            </w:r>
          </w:p>
        </w:tc>
      </w:tr>
      <w:tr w:rsidR="0039752A" w14:paraId="35B94EB1" w14:textId="77777777" w:rsidTr="0039752A">
        <w:trPr>
          <w:trHeight w:val="1952"/>
        </w:trPr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B17F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- GNI per capita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264A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Total income earned by the countries factors of production, regardless of where the assets are located, divided by the number of the population. Foreign firms producing inside the country </w:t>
            </w:r>
            <w:r>
              <w:rPr>
                <w:rFonts w:ascii="Calibri" w:eastAsia="Calibri" w:hAnsi="Calibri" w:cs="Calibri"/>
                <w:b/>
              </w:rPr>
              <w:t>are not</w:t>
            </w:r>
            <w:r>
              <w:rPr>
                <w:rFonts w:ascii="Calibri" w:eastAsia="Calibri" w:hAnsi="Calibri" w:cs="Calibri"/>
              </w:rPr>
              <w:t xml:space="preserve"> included. Domestic firms producing outside of the country </w:t>
            </w:r>
            <w:r>
              <w:rPr>
                <w:rFonts w:ascii="Calibri" w:eastAsia="Calibri" w:hAnsi="Calibri" w:cs="Calibri"/>
                <w:b/>
              </w:rPr>
              <w:t>are</w:t>
            </w:r>
            <w:r>
              <w:rPr>
                <w:rFonts w:ascii="Calibri" w:eastAsia="Calibri" w:hAnsi="Calibri" w:cs="Calibri"/>
              </w:rPr>
              <w:t xml:space="preserve"> included.</w:t>
            </w:r>
          </w:p>
        </w:tc>
        <w:tc>
          <w:tcPr>
            <w:tcW w:w="5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A47F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Usually a more reliable measure as it does not include FDI. Particularly for developed countries.</w:t>
            </w:r>
          </w:p>
          <w:p w14:paraId="7F237E24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*USA - 47,930, *UK - 46,040, Indonesia - 1,880, Vietnam - 890</w:t>
            </w:r>
          </w:p>
          <w:p w14:paraId="0FAB3267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* Therefore USA and UK earn a significant amount of property income from abroad. Developing countries like Indonesia and Vietnam do not.</w:t>
            </w:r>
          </w:p>
        </w:tc>
      </w:tr>
      <w:tr w:rsidR="0039752A" w14:paraId="609CA243" w14:textId="77777777" w:rsidTr="0039752A">
        <w:trPr>
          <w:trHeight w:val="1612"/>
        </w:trPr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BBC3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 xml:space="preserve">- GDP per capita (PPP) 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EB0E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GDP per capita adjusted for purchasing power parity. What is the purchasing power of my income?</w:t>
            </w:r>
          </w:p>
          <w:p w14:paraId="12C528F1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Big Mac Index - </w:t>
            </w:r>
            <w:proofErr w:type="spellStart"/>
            <w:r>
              <w:rPr>
                <w:rFonts w:ascii="Calibri" w:eastAsia="Calibri" w:hAnsi="Calibri" w:cs="Calibri"/>
              </w:rPr>
              <w:t>Burgernomics</w:t>
            </w:r>
            <w:proofErr w:type="spellEnd"/>
            <w:r>
              <w:rPr>
                <w:rFonts w:ascii="Calibri" w:eastAsia="Calibri" w:hAnsi="Calibri" w:cs="Calibri"/>
              </w:rPr>
              <w:t xml:space="preserve">! Because this product in almost identical worldwide. 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http://www.economist.com/content/big-mac-index</w:t>
              </w:r>
            </w:hyperlink>
          </w:p>
        </w:tc>
        <w:tc>
          <w:tcPr>
            <w:tcW w:w="5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6983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For instance if we converted Nigeria’s GDP per capita to US$ we would get $1,370. However the cost of goods and services is significantly lower in Nigeria than the US, therefore this value has a higher purchasing power in Nigeria.</w:t>
            </w:r>
          </w:p>
        </w:tc>
      </w:tr>
      <w:tr w:rsidR="0039752A" w14:paraId="730D1BBA" w14:textId="77777777" w:rsidTr="0039752A">
        <w:trPr>
          <w:trHeight w:val="340"/>
        </w:trPr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DA76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Health Measures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DB9A" w14:textId="77777777" w:rsidR="00496B28" w:rsidRDefault="00496B28">
            <w:pPr>
              <w:pStyle w:val="normal0"/>
              <w:widowControl w:val="0"/>
              <w:spacing w:line="240" w:lineRule="auto"/>
            </w:pPr>
          </w:p>
        </w:tc>
        <w:tc>
          <w:tcPr>
            <w:tcW w:w="5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6ACE" w14:textId="77777777" w:rsidR="00496B28" w:rsidRDefault="00496B28">
            <w:pPr>
              <w:pStyle w:val="normal0"/>
              <w:widowControl w:val="0"/>
              <w:spacing w:line="240" w:lineRule="auto"/>
            </w:pPr>
          </w:p>
        </w:tc>
      </w:tr>
      <w:tr w:rsidR="0039752A" w14:paraId="1ABDB5C4" w14:textId="77777777" w:rsidTr="0039752A">
        <w:trPr>
          <w:trHeight w:val="1301"/>
        </w:trPr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A5EE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- Life expectancy at birth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82F0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How many years can a person expect to live for when they are born? Factors that can lead to high life expectancy: clean water, adequate sanitation, provision of national education, reasonable supply of food, healthy diet, lack of political conflict (wars).</w:t>
            </w:r>
          </w:p>
        </w:tc>
        <w:tc>
          <w:tcPr>
            <w:tcW w:w="5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051C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Australia </w:t>
            </w:r>
            <w:r>
              <w:rPr>
                <w:rFonts w:ascii="Calibri" w:eastAsia="Calibri" w:hAnsi="Calibri" w:cs="Calibri"/>
              </w:rPr>
              <w:t>- 82 years</w:t>
            </w:r>
          </w:p>
          <w:p w14:paraId="01A7C770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Croatia</w:t>
            </w:r>
            <w:r>
              <w:rPr>
                <w:rFonts w:ascii="Calibri" w:eastAsia="Calibri" w:hAnsi="Calibri" w:cs="Calibri"/>
              </w:rPr>
              <w:t xml:space="preserve"> - 76 years</w:t>
            </w:r>
          </w:p>
          <w:p w14:paraId="1C9AB303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Indonesia</w:t>
            </w:r>
            <w:r>
              <w:rPr>
                <w:rFonts w:ascii="Calibri" w:eastAsia="Calibri" w:hAnsi="Calibri" w:cs="Calibri"/>
              </w:rPr>
              <w:t xml:space="preserve"> - 71 years</w:t>
            </w:r>
          </w:p>
          <w:p w14:paraId="75D22AB7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Zambia</w:t>
            </w:r>
            <w:r>
              <w:rPr>
                <w:rFonts w:ascii="Calibri" w:eastAsia="Calibri" w:hAnsi="Calibri" w:cs="Calibri"/>
              </w:rPr>
              <w:t xml:space="preserve"> - 46 years</w:t>
            </w:r>
          </w:p>
        </w:tc>
      </w:tr>
      <w:tr w:rsidR="0039752A" w14:paraId="32FCE6D0" w14:textId="77777777" w:rsidTr="0039752A">
        <w:trPr>
          <w:trHeight w:val="966"/>
        </w:trPr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E50F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- Infant Mortality Rate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6DE1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Number of deaths in babies per 1000 in a calendar year. Significantly affected by health care, availability of food and level of poverty</w:t>
            </w:r>
          </w:p>
        </w:tc>
        <w:tc>
          <w:tcPr>
            <w:tcW w:w="5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2D46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Australia</w:t>
            </w:r>
            <w:r>
              <w:rPr>
                <w:rFonts w:ascii="Calibri" w:eastAsia="Calibri" w:hAnsi="Calibri" w:cs="Calibri"/>
              </w:rPr>
              <w:t xml:space="preserve"> - 5</w:t>
            </w:r>
          </w:p>
          <w:p w14:paraId="0FE3BCC9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Croatia</w:t>
            </w:r>
            <w:r>
              <w:rPr>
                <w:rFonts w:ascii="Calibri" w:eastAsia="Calibri" w:hAnsi="Calibri" w:cs="Calibri"/>
              </w:rPr>
              <w:t xml:space="preserve"> - 5</w:t>
            </w:r>
          </w:p>
          <w:p w14:paraId="2ECE2324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Indonesia</w:t>
            </w:r>
            <w:r>
              <w:rPr>
                <w:rFonts w:ascii="Calibri" w:eastAsia="Calibri" w:hAnsi="Calibri" w:cs="Calibri"/>
              </w:rPr>
              <w:t xml:space="preserve"> - 31</w:t>
            </w:r>
          </w:p>
          <w:p w14:paraId="3526F7CB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Zambia </w:t>
            </w:r>
            <w:r>
              <w:rPr>
                <w:rFonts w:ascii="Calibri" w:eastAsia="Calibri" w:hAnsi="Calibri" w:cs="Calibri"/>
              </w:rPr>
              <w:t>- 92</w:t>
            </w:r>
          </w:p>
        </w:tc>
      </w:tr>
      <w:tr w:rsidR="0039752A" w14:paraId="11BCBC3A" w14:textId="77777777" w:rsidTr="0039752A">
        <w:trPr>
          <w:trHeight w:val="313"/>
        </w:trPr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78A7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Education Measures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7642" w14:textId="77777777" w:rsidR="00496B28" w:rsidRDefault="00496B28">
            <w:pPr>
              <w:pStyle w:val="normal0"/>
              <w:widowControl w:val="0"/>
              <w:spacing w:line="240" w:lineRule="auto"/>
            </w:pPr>
          </w:p>
        </w:tc>
        <w:tc>
          <w:tcPr>
            <w:tcW w:w="5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A8C8" w14:textId="56C56B0A" w:rsidR="00496B28" w:rsidRDefault="00496B28">
            <w:pPr>
              <w:pStyle w:val="normal0"/>
              <w:widowControl w:val="0"/>
              <w:spacing w:line="240" w:lineRule="auto"/>
            </w:pPr>
          </w:p>
        </w:tc>
      </w:tr>
      <w:tr w:rsidR="0039752A" w14:paraId="379E65F7" w14:textId="77777777" w:rsidTr="0039752A">
        <w:trPr>
          <w:trHeight w:val="1301"/>
        </w:trPr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C00F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- Adult literacy rate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C1C3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Proportion of the population aged over 15 who is literate expressed as a % of the entire population. Assessed as a person who can read and write a short statement relating to his/her everyday life. Influenced heavily by wealth and poverty levels</w:t>
            </w:r>
          </w:p>
        </w:tc>
        <w:tc>
          <w:tcPr>
            <w:tcW w:w="5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262B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Australia</w:t>
            </w:r>
            <w:r>
              <w:rPr>
                <w:rFonts w:ascii="Calibri" w:eastAsia="Calibri" w:hAnsi="Calibri" w:cs="Calibri"/>
              </w:rPr>
              <w:t xml:space="preserve"> - 99%</w:t>
            </w:r>
          </w:p>
          <w:p w14:paraId="18F7E84F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Croatia</w:t>
            </w:r>
            <w:r>
              <w:rPr>
                <w:rFonts w:ascii="Calibri" w:eastAsia="Calibri" w:hAnsi="Calibri" w:cs="Calibri"/>
              </w:rPr>
              <w:t xml:space="preserve"> - 99%</w:t>
            </w:r>
          </w:p>
          <w:p w14:paraId="7997EA60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Indonesia</w:t>
            </w:r>
            <w:r>
              <w:rPr>
                <w:rFonts w:ascii="Calibri" w:eastAsia="Calibri" w:hAnsi="Calibri" w:cs="Calibri"/>
              </w:rPr>
              <w:t xml:space="preserve"> - 91%</w:t>
            </w:r>
          </w:p>
          <w:p w14:paraId="5407503F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Zambia</w:t>
            </w:r>
            <w:r>
              <w:rPr>
                <w:rFonts w:ascii="Calibri" w:eastAsia="Calibri" w:hAnsi="Calibri" w:cs="Calibri"/>
              </w:rPr>
              <w:t xml:space="preserve"> - 68%</w:t>
            </w:r>
          </w:p>
        </w:tc>
      </w:tr>
      <w:tr w:rsidR="0039752A" w14:paraId="6A1C5734" w14:textId="77777777" w:rsidTr="0039752A">
        <w:trPr>
          <w:trHeight w:val="1301"/>
        </w:trPr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8FD8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- Net enrolment ratio in primary education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2683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Expressed as a ratio of the number of students of primary school age in school to the total number of primary school aged children in the country. One of the </w:t>
            </w:r>
            <w:proofErr w:type="spellStart"/>
            <w:r>
              <w:rPr>
                <w:rFonts w:ascii="Calibri" w:eastAsia="Calibri" w:hAnsi="Calibri" w:cs="Calibri"/>
              </w:rPr>
              <w:t>Millenium</w:t>
            </w:r>
            <w:proofErr w:type="spellEnd"/>
            <w:r>
              <w:rPr>
                <w:rFonts w:ascii="Calibri" w:eastAsia="Calibri" w:hAnsi="Calibri" w:cs="Calibri"/>
              </w:rPr>
              <w:t xml:space="preserve"> Development goals is for all primary school </w:t>
            </w:r>
            <w:proofErr w:type="gramStart"/>
            <w:r>
              <w:rPr>
                <w:rFonts w:ascii="Calibri" w:eastAsia="Calibri" w:hAnsi="Calibri" w:cs="Calibri"/>
              </w:rPr>
              <w:t>aged children</w:t>
            </w:r>
            <w:proofErr w:type="gramEnd"/>
            <w:r>
              <w:rPr>
                <w:rFonts w:ascii="Calibri" w:eastAsia="Calibri" w:hAnsi="Calibri" w:cs="Calibri"/>
              </w:rPr>
              <w:t xml:space="preserve"> to be in education by 2015.</w:t>
            </w:r>
          </w:p>
        </w:tc>
        <w:tc>
          <w:tcPr>
            <w:tcW w:w="5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4FA7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Australia</w:t>
            </w:r>
            <w:r>
              <w:rPr>
                <w:rFonts w:ascii="Calibri" w:eastAsia="Calibri" w:hAnsi="Calibri" w:cs="Calibri"/>
              </w:rPr>
              <w:t xml:space="preserve"> - 96%</w:t>
            </w:r>
          </w:p>
          <w:p w14:paraId="459B67E6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Croatia </w:t>
            </w:r>
            <w:r>
              <w:rPr>
                <w:rFonts w:ascii="Calibri" w:eastAsia="Calibri" w:hAnsi="Calibri" w:cs="Calibri"/>
              </w:rPr>
              <w:t>- 90%</w:t>
            </w:r>
          </w:p>
          <w:p w14:paraId="75EDBF2A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Indonesia</w:t>
            </w:r>
            <w:r>
              <w:rPr>
                <w:rFonts w:ascii="Calibri" w:eastAsia="Calibri" w:hAnsi="Calibri" w:cs="Calibri"/>
              </w:rPr>
              <w:t xml:space="preserve"> - 85%</w:t>
            </w:r>
          </w:p>
          <w:p w14:paraId="3CCB9B94" w14:textId="77777777" w:rsidR="00496B28" w:rsidRDefault="00580860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Zambia</w:t>
            </w:r>
            <w:r>
              <w:rPr>
                <w:rFonts w:ascii="Calibri" w:eastAsia="Calibri" w:hAnsi="Calibri" w:cs="Calibri"/>
              </w:rPr>
              <w:t xml:space="preserve"> - 80%</w:t>
            </w:r>
          </w:p>
        </w:tc>
      </w:tr>
    </w:tbl>
    <w:p w14:paraId="5C4A48F2" w14:textId="2427E66F" w:rsidR="00496B28" w:rsidRDefault="00496B28">
      <w:pPr>
        <w:pStyle w:val="normal0"/>
        <w:widowControl w:val="0"/>
      </w:pPr>
    </w:p>
    <w:p w14:paraId="66FF8774" w14:textId="77777777" w:rsidR="004D27B8" w:rsidRDefault="004D27B8">
      <w:pPr>
        <w:pStyle w:val="normal0"/>
        <w:widowControl w:val="0"/>
      </w:pPr>
    </w:p>
    <w:p w14:paraId="73FC5211" w14:textId="353C7ACB" w:rsidR="004D27B8" w:rsidRDefault="004D27B8">
      <w:pPr>
        <w:pStyle w:val="normal0"/>
        <w:widowControl w:val="0"/>
      </w:pPr>
    </w:p>
    <w:p w14:paraId="31E549B7" w14:textId="77777777" w:rsidR="004D27B8" w:rsidRDefault="004D27B8">
      <w:pPr>
        <w:pStyle w:val="normal0"/>
        <w:widowControl w:val="0"/>
      </w:pPr>
    </w:p>
    <w:p w14:paraId="4449CEEB" w14:textId="77777777" w:rsidR="004D27B8" w:rsidRDefault="004D27B8">
      <w:pPr>
        <w:pStyle w:val="normal0"/>
        <w:widowControl w:val="0"/>
      </w:pPr>
    </w:p>
    <w:p w14:paraId="5E93D440" w14:textId="77777777" w:rsidR="004D27B8" w:rsidRDefault="004D27B8">
      <w:pPr>
        <w:pStyle w:val="normal0"/>
        <w:widowControl w:val="0"/>
      </w:pPr>
    </w:p>
    <w:p w14:paraId="68429502" w14:textId="77777777" w:rsidR="004D27B8" w:rsidRDefault="004D27B8">
      <w:pPr>
        <w:pStyle w:val="normal0"/>
        <w:widowControl w:val="0"/>
      </w:pPr>
    </w:p>
    <w:p w14:paraId="5D5B4DEF" w14:textId="77777777" w:rsidR="004D27B8" w:rsidRDefault="004D27B8">
      <w:pPr>
        <w:pStyle w:val="normal0"/>
        <w:widowControl w:val="0"/>
      </w:pPr>
    </w:p>
    <w:p w14:paraId="12C9AC5C" w14:textId="77777777" w:rsidR="004D27B8" w:rsidRDefault="004D27B8">
      <w:pPr>
        <w:pStyle w:val="normal0"/>
        <w:widowControl w:val="0"/>
      </w:pPr>
    </w:p>
    <w:p w14:paraId="5DE5F36D" w14:textId="77777777" w:rsidR="004D27B8" w:rsidRDefault="004D27B8">
      <w:pPr>
        <w:pStyle w:val="normal0"/>
        <w:widowControl w:val="0"/>
      </w:pPr>
    </w:p>
    <w:p w14:paraId="59B88AAB" w14:textId="41079C62" w:rsidR="004D27B8" w:rsidRDefault="004D27B8">
      <w:pPr>
        <w:pStyle w:val="normal0"/>
        <w:widowControl w:val="0"/>
      </w:pPr>
    </w:p>
    <w:p w14:paraId="17AC9572" w14:textId="77777777" w:rsidR="004D27B8" w:rsidRDefault="004D27B8">
      <w:pPr>
        <w:pStyle w:val="normal0"/>
        <w:widowControl w:val="0"/>
      </w:pPr>
    </w:p>
    <w:p w14:paraId="52EDE94A" w14:textId="17607443" w:rsidR="004D27B8" w:rsidRDefault="0039752A" w:rsidP="0039752A">
      <w:pPr>
        <w:pStyle w:val="normal0"/>
        <w:widowControl w:val="0"/>
        <w:tabs>
          <w:tab w:val="left" w:pos="11140"/>
        </w:tabs>
      </w:pPr>
      <w:r>
        <w:tab/>
      </w:r>
    </w:p>
    <w:tbl>
      <w:tblPr>
        <w:tblpPr w:leftFromText="180" w:rightFromText="180" w:vertAnchor="page" w:horzAnchor="page" w:tblpX="2657" w:tblpY="1657"/>
        <w:tblW w:w="9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3969"/>
        <w:gridCol w:w="3476"/>
      </w:tblGrid>
      <w:tr w:rsidR="003707A6" w14:paraId="655FF3BF" w14:textId="77777777" w:rsidTr="003707A6">
        <w:trPr>
          <w:trHeight w:val="291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201E" w14:textId="559E91A2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Composite </w:t>
            </w:r>
            <w:r>
              <w:rPr>
                <w:rFonts w:ascii="Calibri" w:eastAsia="Calibri" w:hAnsi="Calibri" w:cs="Calibri"/>
                <w:b/>
              </w:rPr>
              <w:t>Indicators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F0DF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Description/Definition</w:t>
            </w:r>
          </w:p>
        </w:tc>
        <w:tc>
          <w:tcPr>
            <w:tcW w:w="3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69EA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Example</w:t>
            </w:r>
          </w:p>
        </w:tc>
      </w:tr>
      <w:tr w:rsidR="003707A6" w14:paraId="75F33FD6" w14:textId="77777777" w:rsidTr="003707A6">
        <w:trPr>
          <w:trHeight w:val="2528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DA01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Human Development Index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1641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Brings together 3 goals - long and healthy life, improved education and standards of living.</w:t>
            </w:r>
          </w:p>
          <w:p w14:paraId="448096CD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Health</w:t>
            </w:r>
            <w:r>
              <w:rPr>
                <w:rFonts w:ascii="Calibri" w:eastAsia="Calibri" w:hAnsi="Calibri" w:cs="Calibri"/>
              </w:rPr>
              <w:t xml:space="preserve"> - Life Expectancy</w:t>
            </w:r>
          </w:p>
          <w:p w14:paraId="1426127D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Education</w:t>
            </w:r>
            <w:r>
              <w:rPr>
                <w:rFonts w:ascii="Calibri" w:eastAsia="Calibri" w:hAnsi="Calibri" w:cs="Calibri"/>
              </w:rPr>
              <w:t xml:space="preserve"> - Adult Literacy rate + school enrolment across primary, secondary and tertiary sectors</w:t>
            </w:r>
          </w:p>
          <w:p w14:paraId="139FFAFD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Standards of Living</w:t>
            </w:r>
            <w:r>
              <w:rPr>
                <w:rFonts w:ascii="Calibri" w:eastAsia="Calibri" w:hAnsi="Calibri" w:cs="Calibri"/>
              </w:rPr>
              <w:t xml:space="preserve"> - GDP per capita converted to PPP</w:t>
            </w:r>
          </w:p>
          <w:p w14:paraId="7B6C6A83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</w:p>
          <w:p w14:paraId="093F230C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* Some countries are strong in GDP per capita, but lower for other indicators and vice versa. Refer to table on page 350.</w:t>
            </w:r>
          </w:p>
        </w:tc>
        <w:tc>
          <w:tcPr>
            <w:tcW w:w="3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35C9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An index value between 0-1 is created. Countries are then ranked into 4 categories:</w:t>
            </w:r>
          </w:p>
          <w:p w14:paraId="128C433A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Very high HDI -</w:t>
            </w:r>
            <w:r>
              <w:rPr>
                <w:rFonts w:ascii="Calibri" w:eastAsia="Calibri" w:hAnsi="Calibri" w:cs="Calibri"/>
                <w:b/>
              </w:rPr>
              <w:t xml:space="preserve"> 0.9 - 1.0</w:t>
            </w:r>
          </w:p>
          <w:p w14:paraId="29FBCE6E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High HDI </w:t>
            </w:r>
            <w:r>
              <w:rPr>
                <w:rFonts w:ascii="Calibri" w:eastAsia="Calibri" w:hAnsi="Calibri" w:cs="Calibri"/>
                <w:b/>
              </w:rPr>
              <w:t>0.8 - 0.89</w:t>
            </w:r>
          </w:p>
          <w:p w14:paraId="3C2B1AF1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Medium HDI </w:t>
            </w:r>
            <w:r>
              <w:rPr>
                <w:rFonts w:ascii="Calibri" w:eastAsia="Calibri" w:hAnsi="Calibri" w:cs="Calibri"/>
                <w:b/>
              </w:rPr>
              <w:t>0.5 - 0.79</w:t>
            </w:r>
          </w:p>
          <w:p w14:paraId="5CB5663E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Low HDI </w:t>
            </w:r>
            <w:r>
              <w:rPr>
                <w:rFonts w:ascii="Calibri" w:eastAsia="Calibri" w:hAnsi="Calibri" w:cs="Calibri"/>
                <w:b/>
              </w:rPr>
              <w:t>less than 0.5</w:t>
            </w:r>
          </w:p>
          <w:p w14:paraId="3620386F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Norway</w:t>
            </w:r>
            <w:r>
              <w:rPr>
                <w:rFonts w:ascii="Calibri" w:eastAsia="Calibri" w:hAnsi="Calibri" w:cs="Calibri"/>
              </w:rPr>
              <w:t xml:space="preserve"> HDI rank - 1, GDP per capita rank - 5</w:t>
            </w:r>
          </w:p>
          <w:p w14:paraId="0D21C0FC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USA</w:t>
            </w:r>
            <w:r>
              <w:rPr>
                <w:rFonts w:ascii="Calibri" w:eastAsia="Calibri" w:hAnsi="Calibri" w:cs="Calibri"/>
              </w:rPr>
              <w:t xml:space="preserve"> HDI rank - 13, GDP per capita rank - 9</w:t>
            </w:r>
          </w:p>
          <w:p w14:paraId="62F54209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Saudi Arabia </w:t>
            </w:r>
            <w:r>
              <w:rPr>
                <w:rFonts w:ascii="Calibri" w:eastAsia="Calibri" w:hAnsi="Calibri" w:cs="Calibri"/>
              </w:rPr>
              <w:t>HDI rank - 59, GDP per capita rank - 40</w:t>
            </w:r>
          </w:p>
        </w:tc>
      </w:tr>
      <w:tr w:rsidR="003707A6" w14:paraId="691D637A" w14:textId="77777777" w:rsidTr="003707A6">
        <w:trPr>
          <w:trHeight w:val="271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FC84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Gender-related Development Index (GDI)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0C86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Looks at the same indicators for HDI, but considers differences for gender. Therefore the GDI is essentially HDI adjusted for differences between men and women.</w:t>
            </w:r>
          </w:p>
        </w:tc>
        <w:tc>
          <w:tcPr>
            <w:tcW w:w="3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4FD6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France</w:t>
            </w:r>
            <w:r>
              <w:rPr>
                <w:rFonts w:ascii="Calibri" w:eastAsia="Calibri" w:hAnsi="Calibri" w:cs="Calibri"/>
              </w:rPr>
              <w:t xml:space="preserve"> - HDI (0.961), GDI (0.956)</w:t>
            </w:r>
          </w:p>
          <w:p w14:paraId="0D94B8CF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UK</w:t>
            </w:r>
            <w:r>
              <w:rPr>
                <w:rFonts w:ascii="Calibri" w:eastAsia="Calibri" w:hAnsi="Calibri" w:cs="Calibri"/>
              </w:rPr>
              <w:t xml:space="preserve"> -HDI (0.947), GDI (0.943)</w:t>
            </w:r>
          </w:p>
          <w:p w14:paraId="1D829E8A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Mali </w:t>
            </w:r>
            <w:r>
              <w:rPr>
                <w:rFonts w:ascii="Calibri" w:eastAsia="Calibri" w:hAnsi="Calibri" w:cs="Calibri"/>
              </w:rPr>
              <w:t>- HDI (0.371), GDI (0.353)</w:t>
            </w:r>
          </w:p>
          <w:p w14:paraId="3708D698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http://hdr.undp.org/en/statistics/gii</w:t>
              </w:r>
            </w:hyperlink>
          </w:p>
        </w:tc>
      </w:tr>
      <w:tr w:rsidR="003707A6" w14:paraId="0180C9D4" w14:textId="77777777" w:rsidTr="003707A6">
        <w:trPr>
          <w:trHeight w:val="112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2C7E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>Gender empowerment measure (GEM)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AA34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Does development create freedoms and opportunities for women? How do women within a country participate in economic and political life?</w:t>
            </w:r>
          </w:p>
        </w:tc>
        <w:tc>
          <w:tcPr>
            <w:tcW w:w="3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4ADC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%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women in leadership, managerial and parliament positions</w:t>
            </w:r>
          </w:p>
          <w:p w14:paraId="1AFF95B8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4% of women in management positions in Germany.</w:t>
            </w:r>
          </w:p>
          <w:p w14:paraId="5A1F655F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https://www.alumniportal-deutschland.org/en/jobs-career/article/women-in-leadership-positions-womens-quota.html</w:t>
              </w:r>
            </w:hyperlink>
          </w:p>
        </w:tc>
      </w:tr>
      <w:tr w:rsidR="003707A6" w14:paraId="34182650" w14:textId="77777777" w:rsidTr="003707A6">
        <w:trPr>
          <w:trHeight w:val="1399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7519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Human Poverty Index (HPI)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2AEE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Measures the level of deprivation and poverty experienced in a country. HDI measures 3 variables, whereas the </w:t>
            </w:r>
            <w:proofErr w:type="gramStart"/>
            <w:r>
              <w:rPr>
                <w:rFonts w:ascii="Calibri" w:eastAsia="Calibri" w:hAnsi="Calibri" w:cs="Calibri"/>
              </w:rPr>
              <w:t>HPI  measures</w:t>
            </w:r>
            <w:proofErr w:type="gramEnd"/>
            <w:r>
              <w:rPr>
                <w:rFonts w:ascii="Calibri" w:eastAsia="Calibri" w:hAnsi="Calibri" w:cs="Calibri"/>
              </w:rPr>
              <w:t xml:space="preserve"> the proportion of people who are deprived of the opportunity to reach a basic level in each area. </w:t>
            </w:r>
          </w:p>
          <w:p w14:paraId="6D73D283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How evenly are the HDI benefits spread within the country?</w:t>
            </w:r>
          </w:p>
        </w:tc>
        <w:tc>
          <w:tcPr>
            <w:tcW w:w="3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D491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- %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people who do not reach the age of 40</w:t>
            </w:r>
          </w:p>
          <w:p w14:paraId="6A6A8495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- %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adults who are illiterate</w:t>
            </w:r>
          </w:p>
          <w:p w14:paraId="136D3407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- %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population without access to safe water</w:t>
            </w:r>
          </w:p>
          <w:p w14:paraId="5F71B999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- %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children who are underweight for their age</w:t>
            </w:r>
          </w:p>
          <w:p w14:paraId="28EA003E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</w:p>
        </w:tc>
      </w:tr>
      <w:tr w:rsidR="003707A6" w14:paraId="7D214937" w14:textId="77777777" w:rsidTr="003707A6">
        <w:trPr>
          <w:trHeight w:val="564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9219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Genuine Progress Indicator (GPI)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840D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Has a country’s growth actually led to an improvement in the welfare of its people? </w:t>
            </w:r>
            <w:r>
              <w:rPr>
                <w:rFonts w:ascii="Calibri" w:eastAsia="Calibri" w:hAnsi="Calibri" w:cs="Calibri"/>
                <w:b/>
              </w:rPr>
              <w:t>Deducts costs</w:t>
            </w:r>
            <w:r>
              <w:rPr>
                <w:rFonts w:ascii="Calibri" w:eastAsia="Calibri" w:hAnsi="Calibri" w:cs="Calibri"/>
              </w:rPr>
              <w:t xml:space="preserve"> of economic growth</w:t>
            </w:r>
          </w:p>
        </w:tc>
        <w:tc>
          <w:tcPr>
            <w:tcW w:w="3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BEB0" w14:textId="77777777" w:rsidR="003707A6" w:rsidRDefault="003707A6" w:rsidP="003707A6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- Environmental costs, social costs, commuting costs, cost of automobile accidents. Is growth sustainable?</w:t>
            </w:r>
          </w:p>
        </w:tc>
      </w:tr>
    </w:tbl>
    <w:p w14:paraId="0C1BA28A" w14:textId="137DFDC1" w:rsidR="004D27B8" w:rsidRDefault="004D27B8">
      <w:pPr>
        <w:pStyle w:val="normal0"/>
        <w:widowControl w:val="0"/>
      </w:pPr>
    </w:p>
    <w:p w14:paraId="1B3735C4" w14:textId="77777777" w:rsidR="004D27B8" w:rsidRDefault="004D27B8">
      <w:pPr>
        <w:pStyle w:val="normal0"/>
        <w:widowControl w:val="0"/>
      </w:pPr>
    </w:p>
    <w:p w14:paraId="30166B6F" w14:textId="77777777" w:rsidR="004D27B8" w:rsidRDefault="004D27B8">
      <w:pPr>
        <w:pStyle w:val="normal0"/>
        <w:widowControl w:val="0"/>
      </w:pPr>
    </w:p>
    <w:p w14:paraId="672442E2" w14:textId="77777777" w:rsidR="004D27B8" w:rsidRDefault="004D27B8">
      <w:pPr>
        <w:pStyle w:val="normal0"/>
        <w:widowControl w:val="0"/>
      </w:pPr>
    </w:p>
    <w:p w14:paraId="7526D5D4" w14:textId="77777777" w:rsidR="004D27B8" w:rsidRDefault="004D27B8">
      <w:pPr>
        <w:pStyle w:val="normal0"/>
        <w:widowControl w:val="0"/>
      </w:pPr>
    </w:p>
    <w:p w14:paraId="6DE61E46" w14:textId="78563B23" w:rsidR="004D27B8" w:rsidRDefault="004D27B8">
      <w:pPr>
        <w:pStyle w:val="normal0"/>
        <w:widowControl w:val="0"/>
      </w:pPr>
    </w:p>
    <w:p w14:paraId="3A511B23" w14:textId="3A426466" w:rsidR="00496B28" w:rsidRDefault="003707A6">
      <w:pPr>
        <w:pStyle w:val="normal0"/>
        <w:widowControl w:val="0"/>
      </w:pPr>
      <w:r>
        <w:rPr>
          <w:rFonts w:ascii="Times" w:hAnsi="Times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21763" wp14:editId="4C42D06B">
                <wp:simplePos x="0" y="0"/>
                <wp:positionH relativeFrom="column">
                  <wp:posOffset>6515100</wp:posOffset>
                </wp:positionH>
                <wp:positionV relativeFrom="paragraph">
                  <wp:posOffset>3691890</wp:posOffset>
                </wp:positionV>
                <wp:extent cx="1943100" cy="685800"/>
                <wp:effectExtent l="0" t="0" r="1270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76216" w14:textId="77777777" w:rsidR="0039752A" w:rsidRDefault="0039752A" w:rsidP="0039752A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Webnote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426</w:t>
                            </w:r>
                          </w:p>
                          <w:p w14:paraId="5CAAB5B7" w14:textId="77777777" w:rsidR="0039752A" w:rsidRDefault="0039752A" w:rsidP="0039752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Syllabus: Items 168 -169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513pt;margin-top:290.7pt;width:153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Urj+QCAAA+BgAADgAAAGRycy9lMm9Eb2MueG1srFTdb9owEH+ftP/B8jtNwgKFqKFKqZgmVW21&#10;duqzcWyI5q/ZBsKm/e87O4TSbg/rNB7C2fe7893vPi4uWynQllnXaFXi7CzFiCmq60atSvzlcTGY&#10;YOQ8UTURWrES75nDl7P37y52pmBDvdaiZhaBE+WKnSnx2ntTJImjayaJO9OGKVBybSXxcLSrpLZk&#10;B96lSIZpOk522tbGasqcg9vrToln0T/njPo7zh3zSJQYYvPxa+N3Gb7J7IIUK0vMuqGHMMg/RCFJ&#10;o+DRo6tr4gna2OY3V7KhVjvN/RnVMtGcN5TFHCCbLH2VzcOaGBZzAXKcOdLk/p9beru9t6ipSzzG&#10;SBEJJXpkrUdXukXjwM7OuAJADwZgvoVrqHJ/7+AyJN1yK8M/pINADzzvj9wGZzQYTfMPWQoqCrrx&#10;ZDQBGdwnz9bGOv+RaYmCUGILtYuUku2N8x20h4THnBZNvWiEiAe7Ws6FRVsCdV7A7+j9BUyoAFY6&#10;mHUeuxsWO6V7hhQQMogBGYKPVfwxH50Pq/PRdDCuRtkgz9LJoKrS4eB6UaVVmi/m0/zqJ4QrSZYX&#10;O+gnA90YmATGFoKsDrUL6r8rniT0RatnWRKbrAsbHEfu+lCTUKauHFHye8FCAkJ9ZhzKG6sSiQqD&#10;xY5UEUqZ8rGgUImIDigO/LzF8ICPlEUq32LckQ8W8WWt/NFYNkrb2ANxHzyHXX/tQ+YdHsg4yTuI&#10;vl22sa/zvluXut5DE1vdLQFn6KKBTrshzt8TC1MPzQmbzN/Bhwu9K7E+SBittf3+p/uAh3qCFqNQ&#10;9RK7bxtiGUbik4IxnWZ5HtZOPOTQQ3Cwp5rlqUZt5FxDA2ewMw2NYsB70YvcavkEC68Kr4KKKApv&#10;l9j34tx3uw0WJmVVFUGwaAzxN+rB0OA6sBzm6LF9ItYchs1DI93qft+Q4tXMddhgqXS18Zo3cSAD&#10;zx2rB/5hScW2PCzUsAVPzxH1vPZnvwAAAP//AwBQSwMEFAAGAAgAAAAhAH8Xr2PgAAAADQEAAA8A&#10;AABkcnMvZG93bnJldi54bWxMj8FOwzAQRO9I/IO1SNyok7RNQohToQoOvbWFD9jGJjHEdrDdJvw9&#10;2xMcZ3Y0+6bezGZgF+WDdlZAukiAKds6qW0n4P3t9aEEFiJaiYOzSsCPCrBpbm9qrKSb7EFdjrFj&#10;VGJDhQL6GMeK89D2ymBYuFFZun04bzCS9B2XHicqNwPPkiTnBrWlDz2Oatur9ut4NgIKLbf7qT18&#10;vux3317naYG6KIS4v5ufn4BFNce/MFzxCR0aYjq5s5WBDaSTLKcxUcC6TFfArpHlMiPrJCAvH1fA&#10;m5r/X9H8AgAA//8DAFBLAQItABQABgAIAAAAIQDkmcPA+wAAAOEBAAATAAAAAAAAAAAAAAAAAAAA&#10;AABbQ29udGVudF9UeXBlc10ueG1sUEsBAi0AFAAGAAgAAAAhACOyauHXAAAAlAEAAAsAAAAAAAAA&#10;AAAAAAAALAEAAF9yZWxzLy5yZWxzUEsBAi0AFAAGAAgAAAAhAI01K4/kAgAAPgYAAA4AAAAAAAAA&#10;AAAAAAAALAIAAGRycy9lMm9Eb2MueG1sUEsBAi0AFAAGAAgAAAAhAH8Xr2PgAAAADQEAAA8AAAAA&#10;AAAAAAAAAAAAPAUAAGRycy9kb3ducmV2LnhtbFBLBQYAAAAABAAEAPMAAABJBgAAAAA=&#10;" fillcolor="yellow" stroked="f">
                <v:textbox>
                  <w:txbxContent>
                    <w:p w14:paraId="19E76216" w14:textId="77777777" w:rsidR="0039752A" w:rsidRDefault="0039752A" w:rsidP="0039752A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rPr>
                          <w:rFonts w:cs="Times New Roman"/>
                        </w:rPr>
                        <w:t>Webnote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426</w:t>
                      </w:r>
                    </w:p>
                    <w:p w14:paraId="5CAAB5B7" w14:textId="77777777" w:rsidR="0039752A" w:rsidRDefault="0039752A" w:rsidP="0039752A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Syllabus: Items 168 -169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6B28">
      <w:footerReference w:type="even" r:id="rId11"/>
      <w:footerReference w:type="default" r:id="rId12"/>
      <w:pgSz w:w="15840" w:h="122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F646F" w14:textId="77777777" w:rsidR="00387707" w:rsidRDefault="00387707" w:rsidP="00387707">
      <w:pPr>
        <w:spacing w:line="240" w:lineRule="auto"/>
      </w:pPr>
      <w:r>
        <w:separator/>
      </w:r>
    </w:p>
  </w:endnote>
  <w:endnote w:type="continuationSeparator" w:id="0">
    <w:p w14:paraId="7EF43A5F" w14:textId="77777777" w:rsidR="00387707" w:rsidRDefault="00387707" w:rsidP="00387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C3A55" w14:textId="77777777" w:rsidR="004D27B8" w:rsidRDefault="004D27B8" w:rsidP="00E334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2FDB7" w14:textId="77777777" w:rsidR="004D27B8" w:rsidRDefault="004D27B8" w:rsidP="004D27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8F49" w14:textId="77777777" w:rsidR="004D27B8" w:rsidRDefault="004D27B8" w:rsidP="00E334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2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89D865" w14:textId="77777777" w:rsidR="004D27B8" w:rsidRDefault="004D27B8" w:rsidP="004D27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93D28" w14:textId="77777777" w:rsidR="00387707" w:rsidRDefault="00387707" w:rsidP="00387707">
      <w:pPr>
        <w:spacing w:line="240" w:lineRule="auto"/>
      </w:pPr>
      <w:r>
        <w:separator/>
      </w:r>
    </w:p>
  </w:footnote>
  <w:footnote w:type="continuationSeparator" w:id="0">
    <w:p w14:paraId="51644435" w14:textId="77777777" w:rsidR="00387707" w:rsidRDefault="00387707" w:rsidP="00387707">
      <w:pPr>
        <w:spacing w:line="240" w:lineRule="auto"/>
      </w:pPr>
      <w:r>
        <w:continuationSeparator/>
      </w:r>
    </w:p>
  </w:footnote>
  <w:footnote w:id="1">
    <w:p w14:paraId="2DE66E6B" w14:textId="28BAD1E4" w:rsidR="00387707" w:rsidRDefault="00387707">
      <w:pPr>
        <w:pStyle w:val="FootnoteText"/>
      </w:pPr>
      <w:r>
        <w:rPr>
          <w:rStyle w:val="FootnoteReference"/>
        </w:rPr>
        <w:footnoteRef/>
      </w:r>
      <w:r>
        <w:t xml:space="preserve"> Thanks to </w:t>
      </w:r>
      <w:proofErr w:type="spellStart"/>
      <w:r>
        <w:t>Mr</w:t>
      </w:r>
      <w:proofErr w:type="spellEnd"/>
      <w:r>
        <w:t xml:space="preserve"> Barratt for these notes!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E2E"/>
    <w:multiLevelType w:val="multilevel"/>
    <w:tmpl w:val="AD1802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CD662B4"/>
    <w:multiLevelType w:val="multilevel"/>
    <w:tmpl w:val="C11CF1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F45563B"/>
    <w:multiLevelType w:val="multilevel"/>
    <w:tmpl w:val="B78AD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28"/>
    <w:rsid w:val="0013120B"/>
    <w:rsid w:val="003707A6"/>
    <w:rsid w:val="00387707"/>
    <w:rsid w:val="0039752A"/>
    <w:rsid w:val="00496B28"/>
    <w:rsid w:val="004D27B8"/>
    <w:rsid w:val="00580860"/>
    <w:rsid w:val="00756111"/>
    <w:rsid w:val="00B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D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FootnoteText">
    <w:name w:val="footnote text"/>
    <w:basedOn w:val="Normal"/>
    <w:link w:val="FootnoteTextChar"/>
    <w:uiPriority w:val="99"/>
    <w:unhideWhenUsed/>
    <w:rsid w:val="00387707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770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8770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D27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B8"/>
  </w:style>
  <w:style w:type="character" w:styleId="PageNumber">
    <w:name w:val="page number"/>
    <w:basedOn w:val="DefaultParagraphFont"/>
    <w:uiPriority w:val="99"/>
    <w:semiHidden/>
    <w:unhideWhenUsed/>
    <w:rsid w:val="004D27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FootnoteText">
    <w:name w:val="footnote text"/>
    <w:basedOn w:val="Normal"/>
    <w:link w:val="FootnoteTextChar"/>
    <w:uiPriority w:val="99"/>
    <w:unhideWhenUsed/>
    <w:rsid w:val="00387707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770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8770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D27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B8"/>
  </w:style>
  <w:style w:type="character" w:styleId="PageNumber">
    <w:name w:val="page number"/>
    <w:basedOn w:val="DefaultParagraphFont"/>
    <w:uiPriority w:val="99"/>
    <w:semiHidden/>
    <w:unhideWhenUsed/>
    <w:rsid w:val="004D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onomist.com/content/big-mac-index" TargetMode="External"/><Relationship Id="rId9" Type="http://schemas.openxmlformats.org/officeDocument/2006/relationships/hyperlink" Target="http://hdr.undp.org/en/statistics/gii" TargetMode="External"/><Relationship Id="rId10" Type="http://schemas.openxmlformats.org/officeDocument/2006/relationships/hyperlink" Target="https://www.alumniportal-deutschland.org/en/jobs-career/article/women-in-leadership-positions-womens-quo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1151</Words>
  <Characters>6565</Characters>
  <Application>Microsoft Macintosh Word</Application>
  <DocSecurity>0</DocSecurity>
  <Lines>54</Lines>
  <Paragraphs>15</Paragraphs>
  <ScaleCrop>false</ScaleCrop>
  <Company>isd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 Measuring Development - Summary Notes.docx</dc:title>
  <cp:lastModifiedBy>ted buckley</cp:lastModifiedBy>
  <cp:revision>6</cp:revision>
  <cp:lastPrinted>2016-01-06T11:26:00Z</cp:lastPrinted>
  <dcterms:created xsi:type="dcterms:W3CDTF">2015-11-23T08:37:00Z</dcterms:created>
  <dcterms:modified xsi:type="dcterms:W3CDTF">2016-01-06T11:31:00Z</dcterms:modified>
</cp:coreProperties>
</file>